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105B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《皮山县国有农用地租赁（承包）指导价格实施方案》的起草说明</w:t>
      </w:r>
    </w:p>
    <w:p w14:paraId="7B76D60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A29CC5F">
      <w:pPr>
        <w:snapToGrid w:val="0"/>
        <w:spacing w:line="574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一、起草背景</w:t>
      </w:r>
    </w:p>
    <w:p w14:paraId="30924B27">
      <w:pPr>
        <w:snapToGrid w:val="0"/>
        <w:spacing w:line="57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皮山县原有国有农用地无统一承包租赁指导价体系，各村自主定价自由裁量过大，长期存在同地不同价、低价发包、零租金流转、合同长期固定租金不调整等乱象；缺乏法定动态调价机制，土地价值与租金严重脱节，国有农用地资产收益流失风险突出；皮亚勒玛乡划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</w:rPr>
        <w:t>拨权证土地、前期农户自行开发土地等历史遗留问题处置无统一标准，土地流转信访纠纷多发；同时原有管理未建立基准地价定期更新、多部门联合监管制度，违规压价、改变农用地用途行为缺少明确处置抓手，不利于耕地粮食安全、草原林地生态保护，制约村集体经济增收与乡村振兴。依据国家、自治区、地区土地管理、自然资源评估相关法律法规及技术规范，结合我县国土变更调查、土壤普查、农用地基准地价成果，亟需出台统一指导价格管理制度，规范全县国有农用地定价全流程管理。</w:t>
      </w:r>
    </w:p>
    <w:p w14:paraId="7759EDB5">
      <w:pPr>
        <w:snapToGrid w:val="0"/>
        <w:spacing w:line="574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二、起草调研及征求意见过程</w:t>
      </w:r>
    </w:p>
    <w:p w14:paraId="50013117">
      <w:pPr>
        <w:snapToGrid w:val="0"/>
        <w:spacing w:line="57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前期调研阶段。县自然资源局联合农业农村局、林业和草原局，全覆盖摸排全县各乡镇国有农用地地类、等级、历年租金、历史合同、遗留权证地块，收集农业种植收益、周边流转市场价格数据，梳理六大类突出管理问题，形成基础调研台账。</w:t>
      </w:r>
    </w:p>
    <w:p w14:paraId="58C50E67">
      <w:pPr>
        <w:snapToGrid w:val="0"/>
        <w:spacing w:line="57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草案初稿编制。对照法律法规、地区指导价标准、国家估价技术规程，结合调研数据起草实施方案初稿，设置三年过渡期、分阶段定价、差异化历史地块处置、五年基准地价更新、合同规范、多部门监管等核心条款。</w:t>
      </w:r>
    </w:p>
    <w:p w14:paraId="1AC67776">
      <w:pPr>
        <w:snapToGrid w:val="0"/>
        <w:spacing w:line="57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3.多部门内部征求意见。向县农业农村局、林业和草原具、财政局、发改委、市场监督管理局等部门及各乡镇征求书面修改意见，将收集到的12条修改建议全部吸收，从而优化草案条款。</w:t>
      </w:r>
    </w:p>
    <w:p w14:paraId="4AE1AEE0">
      <w:pPr>
        <w:snapToGrid w:val="0"/>
        <w:spacing w:line="57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.联合研究论证、进行风险评估。县自然资源局、农业农村局、林业和草原局三部门联合编制《实施研究论证报告》，完成必要性、可行性、风险评估，梳理舆情、执行偏差、推进不均衡三类潜在风险并配套应对措施。</w:t>
      </w:r>
    </w:p>
    <w:p w14:paraId="4EFEAC61">
      <w:pPr>
        <w:snapToGrid w:val="0"/>
        <w:spacing w:line="57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5.合法性初审：县司法局对草案开展合法性审查，确认所有条款符合土地管理、重大行政决策相关法律法规。</w:t>
      </w:r>
    </w:p>
    <w:p w14:paraId="1B27D963">
      <w:pPr>
        <w:snapToGrid w:val="0"/>
        <w:spacing w:line="57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6.形成送审稿：结合论证、合法性审查意见修改完善，形成本次提请政府常务会议审议的决策草案及实施方案文本。</w:t>
      </w:r>
    </w:p>
    <w:p w14:paraId="62CB5DC4">
      <w:pPr>
        <w:snapToGrid w:val="0"/>
        <w:spacing w:line="574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三、草案主要内容说明</w:t>
      </w:r>
    </w:p>
    <w:p w14:paraId="2ED907E3">
      <w:pPr>
        <w:snapToGrid w:val="0"/>
        <w:spacing w:line="57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1.明确适用范围：覆盖全县全部国有耕地、园地、林地、天然牧草地、其他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土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地承包、租赁、流转定价与监管。</w:t>
      </w:r>
    </w:p>
    <w:p w14:paraId="57106794">
      <w:pPr>
        <w:snapToGrid w:val="0"/>
        <w:spacing w:line="57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2.确立四大管理原则：依法依规、尊重历史、公平公正、公益优先。</w:t>
      </w:r>
    </w:p>
    <w:p w14:paraId="2B6289FC">
      <w:pPr>
        <w:snapToGrid w:val="0"/>
        <w:spacing w:line="57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3.双层定价机制：2026—2028年过渡期统一100元/亩・年基础指导价，2029年后依托农用地基准地价常态化定价；配套地区分级分地类基准价格表、皮亚勒玛乡历史地块专项标准、其他历史地块保底限价规则。</w:t>
      </w:r>
    </w:p>
    <w:p w14:paraId="7E544DA1">
      <w:pPr>
        <w:snapToGrid w:val="0"/>
        <w:spacing w:line="57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4.建立动态调价长效机制：五年基准地价全面更新、年度10%以内小幅微调、五类应急更新触发条件。</w:t>
      </w:r>
    </w:p>
    <w:p w14:paraId="03330577">
      <w:pPr>
        <w:snapToGrid w:val="0"/>
        <w:spacing w:line="57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5.合同刚性约束：强制约定调价条款，5年以上流转合同分段定价，禁止固定低价长期合同。</w:t>
      </w:r>
    </w:p>
    <w:p w14:paraId="57654FF7">
      <w:pPr>
        <w:snapToGrid w:val="0"/>
        <w:spacing w:line="57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6.清晰划分县自然资源局、农业农村局、林业和草原局、财政局等部门及各乡镇监管职责，构建三级监管体系；明确全域公示制度、违规整改、公职人员追责、资产损失法律追责处置条款；</w:t>
      </w:r>
    </w:p>
    <w:p w14:paraId="64B9973D">
      <w:pPr>
        <w:snapToGrid w:val="0"/>
        <w:spacing w:line="57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设置完整实施后评估机制，定期检验实施成效并动态优化政策。</w:t>
      </w:r>
    </w:p>
    <w:p w14:paraId="3EEBEE34">
      <w:pPr>
        <w:snapToGrid w:val="0"/>
        <w:spacing w:line="574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四、争议分歧及协调处理情况</w:t>
      </w:r>
    </w:p>
    <w:p w14:paraId="7C1E2212">
      <w:pPr>
        <w:snapToGrid w:val="0"/>
        <w:spacing w:line="57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关于历史遗留地块定价分歧：部分乡镇提出历史承包户前期土地投入大，不宜一刀切提价。协调方案：设置三年过渡期，存量老合同维持原价格，新增地块执行统一指导价，特殊历史地块可协商且不低于过渡期指导价60%，皮亚勒玛乡沿用既定40/60/80元分级标准，充分兼顾历史投入。</w:t>
      </w:r>
    </w:p>
    <w:p w14:paraId="2B0DFCEF">
      <w:pPr>
        <w:snapToGrid w:val="0"/>
        <w:spacing w:line="57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关于租金调整幅度分歧：经营主体担忧租金上涨压力过大。协调方案：年度微调幅度上限10%，分阶段平稳调价，以土地等级、灌溉条件、高标准农田建设成果差异化定价，对粮食种植地块适度倾斜，保障种粮收益。</w:t>
      </w:r>
    </w:p>
    <w:p w14:paraId="52AD21FB">
      <w:pPr>
        <w:snapToGrid w:val="0"/>
        <w:spacing w:line="57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3.关于部门监管权责分歧：多部门梳理职能边界，明确自然资源局管地价测算、农业农村局管流转合同、乡镇属地统筹，形成联动联合督查机制，杜绝监管空白。</w:t>
      </w:r>
    </w:p>
    <w:p w14:paraId="56FD8D1F">
      <w:pPr>
        <w:snapToGrid w:val="0"/>
        <w:spacing w:line="574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五、风险研判及应对措施</w:t>
      </w:r>
    </w:p>
    <w:p w14:paraId="581BD087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（一）主要潜在风险</w:t>
      </w:r>
    </w:p>
    <w:p w14:paraId="3E1BA4F5">
      <w:pPr>
        <w:snapToGrid w:val="0"/>
        <w:spacing w:line="57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部分老旧承包经营主体不理解价格调整，产生抵触情绪、信访舆情风险；部分乡镇、村（社区）执行标准不严，低价流转、公示不到位，出现政策落地偏差；合同规范、基准地价更新等工作推进不均衡，各地执行进度不一。</w:t>
      </w:r>
    </w:p>
    <w:p w14:paraId="459423A5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（二）配套应对措施</w:t>
      </w:r>
    </w:p>
    <w:p w14:paraId="5F284635">
      <w:pPr>
        <w:snapToGrid w:val="0"/>
        <w:spacing w:line="57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分层全覆盖政策宣讲培训，村级公示标准，一对一答疑解读过渡期、历史地块优惠规则；县级部门常态化专项督查，建立问题整改台账，对执行不严单位、个人依规追责；统一业务操作流程、合同模板，定期下乡业务指导，均衡推进全县各项工作；建立乡镇价格纠纷前置调解机制，第一时间化解矛盾，维护基层稳定。</w:t>
      </w:r>
    </w:p>
    <w:p w14:paraId="271A5438">
      <w:pPr>
        <w:snapToGrid w:val="0"/>
        <w:spacing w:line="574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六、实施预期效益</w:t>
      </w:r>
    </w:p>
    <w:p w14:paraId="381DB093">
      <w:pPr>
        <w:snapToGrid w:val="0"/>
        <w:spacing w:line="57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1.法治效益：补齐我县国有农用地价格管理制度短板，落实土地有偿使用法定职责，实现土地管理法治化、规范化。</w:t>
      </w:r>
    </w:p>
    <w:p w14:paraId="660BD523">
      <w:pPr>
        <w:snapToGrid w:val="0"/>
        <w:spacing w:line="57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2.资产效益：杜绝低价发包、资产流失，稳定提升国有农用地租金收益，壮大村集体经济。</w:t>
      </w:r>
    </w:p>
    <w:p w14:paraId="6EFC8278">
      <w:pPr>
        <w:snapToGrid w:val="0"/>
        <w:spacing w:line="57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3.稳定效益：统一历史遗留问题处置标准，从源头减少土地流转纠纷、信访矛盾。</w:t>
      </w:r>
    </w:p>
    <w:p w14:paraId="68261EDE">
      <w:pPr>
        <w:snapToGrid w:val="0"/>
        <w:spacing w:line="57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4.产业生态效益：依靠价格杠杆守住耕地粮食安全、林地草原生态底线，推动土地规模化、集约化、高标准农田建设。</w:t>
      </w:r>
    </w:p>
    <w:p w14:paraId="197B0C6F">
      <w:pPr>
        <w:snapToGrid w:val="0"/>
        <w:spacing w:line="57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5.治理效益：构建多部门协同、公开透明、动态可调长效监管体系，提升基层土地治理能力。</w:t>
      </w:r>
    </w:p>
    <w:p w14:paraId="2098B360">
      <w:pPr>
        <w:snapToGrid w:val="0"/>
        <w:spacing w:line="574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七、其他需要说明事项</w:t>
      </w:r>
    </w:p>
    <w:p w14:paraId="1D26346E">
      <w:pPr>
        <w:snapToGrid w:val="0"/>
        <w:spacing w:line="57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1.本方案自县人民政府常务会议审议印发之日起施行，原有本县农用地价格管理规定与本方案不一致的，以本方案为准；国家、自治区、地区出台新政策的，依法按照新规定执行。</w:t>
      </w:r>
    </w:p>
    <w:p w14:paraId="5DB62F89">
      <w:pPr>
        <w:snapToGrid w:val="0"/>
        <w:spacing w:line="57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2.方案实施全程严格履行重大行政决策法定程序，完成公众参与、论证、风险评估、合法性审查、集体讨论、实施后评估全流程闭环管理。</w:t>
      </w:r>
    </w:p>
    <w:p w14:paraId="314A70DD">
      <w:pPr>
        <w:spacing w:line="560" w:lineRule="exact"/>
        <w:ind w:firstLine="420" w:firstLineChars="200"/>
      </w:pPr>
    </w:p>
    <w:p w14:paraId="0FD89CD0">
      <w:pPr>
        <w:spacing w:line="560" w:lineRule="exact"/>
        <w:ind w:firstLine="420" w:firstLineChars="200"/>
      </w:pPr>
    </w:p>
    <w:p w14:paraId="040498D4">
      <w:pPr>
        <w:snapToGrid w:val="0"/>
        <w:spacing w:line="574" w:lineRule="exact"/>
        <w:ind w:firstLine="4800" w:firstLineChars="15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皮山县自然资源局</w:t>
      </w:r>
    </w:p>
    <w:p w14:paraId="3F67B882">
      <w:pPr>
        <w:snapToGrid w:val="0"/>
        <w:spacing w:line="574" w:lineRule="exact"/>
        <w:ind w:firstLine="4800" w:firstLineChars="15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2026年7月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 w14:paraId="091E359C">
      <w:pPr>
        <w:spacing w:line="560" w:lineRule="exact"/>
        <w:ind w:firstLine="420" w:firstLineChars="200"/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69E3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FC6BD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FC6BD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7A6C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20"/>
    <w:rsid w:val="005740CB"/>
    <w:rsid w:val="005C12CE"/>
    <w:rsid w:val="00665C20"/>
    <w:rsid w:val="007913CB"/>
    <w:rsid w:val="00871E02"/>
    <w:rsid w:val="00A67339"/>
    <w:rsid w:val="00C32B2C"/>
    <w:rsid w:val="00CC4C1E"/>
    <w:rsid w:val="00DF2976"/>
    <w:rsid w:val="00E67696"/>
    <w:rsid w:val="00EA260C"/>
    <w:rsid w:val="0ED83C02"/>
    <w:rsid w:val="164675C4"/>
    <w:rsid w:val="2AF66591"/>
    <w:rsid w:val="2B331BB8"/>
    <w:rsid w:val="2BCD6DAC"/>
    <w:rsid w:val="3477079F"/>
    <w:rsid w:val="36854C85"/>
    <w:rsid w:val="3B4C481D"/>
    <w:rsid w:val="44F81706"/>
    <w:rsid w:val="46A55988"/>
    <w:rsid w:val="489A638C"/>
    <w:rsid w:val="4A396B13"/>
    <w:rsid w:val="4EAE2523"/>
    <w:rsid w:val="543213BA"/>
    <w:rsid w:val="5FE27783"/>
    <w:rsid w:val="72D8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30" w:after="330"/>
      <w:ind w:firstLine="880" w:firstLineChars="200"/>
      <w:jc w:val="left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/>
      <w:ind w:firstLine="880" w:firstLineChars="200"/>
      <w:outlineLvl w:val="1"/>
    </w:pPr>
    <w:rPr>
      <w:rFonts w:ascii="Arial" w:hAnsi="Arial" w:eastAsia="楷体_GB2312"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2176</Words>
  <Characters>2226</Characters>
  <Lines>16</Lines>
  <Paragraphs>4</Paragraphs>
  <TotalTime>43</TotalTime>
  <ScaleCrop>false</ScaleCrop>
  <LinksUpToDate>false</LinksUpToDate>
  <CharactersWithSpaces>2226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2026-07-04T09:54:00Z</dcterms:created>
  <dc:creator>admin</dc:creator>
  <cp:lastModifiedBy>Administrator</cp:lastModifiedBy>
  <cp:lastPrinted>2026-07-07T08:09:00Z</cp:lastPrinted>
  <dcterms:modified xsi:type="dcterms:W3CDTF">2026-07-08T09:09:59Z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TemplateDocerSaveRecord">
    <vt:lpwstr>eyJoZGlkIjoiNzk4ZjNmYjZhZDU3NmVkNTdkM2I1ZWVmZDBlOTBhMzciLCJ1c2VySWQiOiIxMzc4MzY4MTkzIn0=</vt:lpwstr>
  </property>
  <property fmtid="{D5CDD505-2E9C-101B-9397-08002B2CF9AE}" pid="4" name="ICV">
    <vt:lpwstr>75E82A982676430888C2E69FD7D2A4DA_13</vt:lpwstr>
  </property>
</Properties>
</file>