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5A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EEF3FC"/>
          <w:lang w:val="en-US" w:eastAsia="zh-CN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EEF3FC"/>
          <w:lang w:val="en-US" w:eastAsia="zh-CN"/>
        </w:rPr>
        <w:t>草案全文：</w:t>
      </w:r>
    </w:p>
    <w:p w14:paraId="051C5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EEF3FC"/>
          <w:lang w:val="en-US" w:eastAsia="zh-CN"/>
        </w:rPr>
      </w:pPr>
    </w:p>
    <w:p w14:paraId="60AD5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EEF3FC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EEF3FC"/>
          <w:lang w:val="en-US" w:eastAsia="zh-CN"/>
        </w:rPr>
        <w:t>皮山县抗旱井管理办法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EEF3FC"/>
          <w:lang w:val="en-US" w:eastAsia="zh-CN"/>
        </w:rPr>
        <w:t>(征求意见稿）</w:t>
      </w:r>
    </w:p>
    <w:p w14:paraId="4ED29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EEF3FC"/>
          <w:lang w:val="en-US" w:eastAsia="zh-CN"/>
        </w:rPr>
      </w:pPr>
    </w:p>
    <w:p w14:paraId="7BC3A8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总则</w:t>
      </w:r>
    </w:p>
    <w:p w14:paraId="6CAC7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第一条 目的与依据</w:t>
      </w:r>
    </w:p>
    <w:p w14:paraId="1E71D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为实现皮山县抗旱机电井的科学管理与高效利用，贯彻习近平总书记关于防灾减灾救灾的重要指示精神，落实国务院领导批示要求及国家防汛抗旱办通知要求，协同相关部门做好抗旱应急井管理工作，切实推进税费改革各项政策落地实施，严格规范应急抗旱井使用，以实现水资源节约集约与安全利用、保障机电井可持续运行为目标。</w:t>
      </w:r>
    </w:p>
    <w:p w14:paraId="2C8BA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为强化皮山县抗旱井的管理、保护与合理开发，确保其在防旱减灾工作中充分发挥效能，延长使用寿命，满足人民群众生产生活及粮食安全用水需求，依据《中华人民共和国水法》《中华人民共和国抗旱条例》《中华人民共和国安全生产法》《地下水管理条例》《取水许可和水资源费征收管理条例》《皮山县抗旱规划报告》《皮山县水资源管理委员会会议纪要》及“费改税”相关文件，我局结合本县实际情况，在广泛征求相关部门意见的基础上，经多次论证后制定本《办法》。</w:t>
      </w:r>
    </w:p>
    <w:p w14:paraId="17ABD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第二条 适用范围</w:t>
      </w:r>
    </w:p>
    <w:p w14:paraId="09CEB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本《办法》适用于本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县行政区域内所有为解决人畜饮水与农业灌溉难题而建设的抗旱井（涵盖新建、已建以及应急备用井）的管理、使用、维护及相关活动。</w:t>
      </w:r>
    </w:p>
    <w:p w14:paraId="58062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第三条 管理原则</w:t>
      </w:r>
    </w:p>
    <w:p w14:paraId="679B7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依据皮山县《关于审定农业灌溉抗旱井名单的函》，明确应急抗旱井的数量与分布，优先保障干旱期间缺水地区生活用水，兼顾农业生产应急供水需求，同步为未来储备应急水源。秉持“谁受益、谁管护，谁使用、谁负责”的管护准则，遵循以人为本、因地制宜、统筹兼顾、科学调度、局部利益服从全局利益的原则，实行“统一规划、属地管理、分级负责、计量使用与应急保障相结合”的长效管理模式。</w:t>
      </w:r>
    </w:p>
    <w:p w14:paraId="53C6F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第二章 管理职责</w:t>
      </w:r>
    </w:p>
    <w:p w14:paraId="412CC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第四条 管理主体</w:t>
      </w:r>
    </w:p>
    <w:p w14:paraId="2CE24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 xml:space="preserve">1. 县级水行政主管部门负责本行政区域内抗旱井的总体规划、技术指导、监督检查及协调工作，并执行县水资源管理委员会会议的相关决定。 </w:t>
      </w:r>
    </w:p>
    <w:p w14:paraId="1BBCA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2. 乡镇人民政府、乡镇水管所作为属地管理责任主体，需对区域水土平衡及缺水状况进行科学测算，明确缺水量，制定规范的管护与启用机制，落实管护责任，严格界定常规机电井与应急机电井的功能定位，确保抗旱减灾机电井长期有效运行，并严格遵循国家资源有偿使用及应急救灾相关税费减免政策。</w:t>
      </w:r>
    </w:p>
    <w:p w14:paraId="4FE65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3. 乡镇水管所指定的井管员作为抗旱井直接管护责任人，具体承担抗旱井日常运行维护、计量设施水量数据登记及水资源税、水费、电费的上报等工作。</w:t>
      </w:r>
    </w:p>
    <w:p w14:paraId="2C24E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第五条 管护职责</w:t>
      </w:r>
    </w:p>
    <w:p w14:paraId="125FA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1. 乡镇水管所负责本辖区片区旱情及零星旱情缺水量的科学测算，承担抗旱井应急取水时间、井号、取水量及亩均用水量的核定与结算工作，并负责税费规费的申报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工作。</w:t>
      </w:r>
    </w:p>
    <w:p w14:paraId="2D615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2. 责任人（井管员）负责建立抗旱井运行记录台账，详细记载开机时间、运行时长、出水量、用电量、维修状况等信息，承担抗旱井设施（包括井房、水泵、电机、计量设施、配电设备、输水管道等）的日常维护管理与安全运行保障工作，防止人为破坏和设施丢失。</w:t>
      </w:r>
    </w:p>
    <w:p w14:paraId="3F016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3. 水政办公室履行用水秩序监督职责，按照“先生活、后生产，先节水、后调水，先地表、后地下”的原则，统筹调配水资源并实施动态调控，严格规范应急抗旱井的启用程序。</w:t>
      </w:r>
    </w:p>
    <w:p w14:paraId="15776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第三章 使用管理</w:t>
      </w:r>
    </w:p>
    <w:p w14:paraId="432D9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第六条 启用与关闭</w:t>
      </w:r>
    </w:p>
    <w:p w14:paraId="4AD7D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启用流程：县级气象部门发布旱情评估与预警信息后，由村委（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标注土地性质、地块坐标）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向乡级人民政府提交申请报告，经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县农业农村部门或林草部门根据旱情情况审核并盖章，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提交至县水资源管理委员会审定。审定通过后，由水利局启动控制系统，水管所负责开启抗旱井，并承担临时应急取水总量控制、定额管理、水量计量及税费计征等工作。任何单位和个人未经批准不得擅自启用抗旱井。</w:t>
      </w:r>
      <w:bookmarkStart w:id="0" w:name="_GoBack"/>
      <w:bookmarkEnd w:id="0"/>
    </w:p>
    <w:p w14:paraId="7DE61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 xml:space="preserve">关闭：旱情解除后，乡镇水管所应按规定程序关闭抗旱井，完成封存保养工作，及时上报电量、水量数据并结算缴纳相关税费，同时锁闭井房并摘除变压器跌落保险。 </w:t>
      </w:r>
    </w:p>
    <w:p w14:paraId="3A867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第七条 用水秩序</w:t>
      </w:r>
    </w:p>
    <w:p w14:paraId="65612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用水秩序管理严格遵循“优先保障人畜饮水，重点保障基本口粮田灌溉”的原则，切实落实抗旱行政首长负责制，构建并完善统一指挥、部门协调、分级负责的抗旱减灾机制。</w:t>
      </w:r>
    </w:p>
    <w:p w14:paraId="0469F8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未经审批，任何单位或个人不得擅自架泵抽水、破坏计量设施、争水抢水，以及擅自将抗旱井接入高标准农田、土地碎片化整治、土地再分配等项目实施常态化取水以规避水资源税的行为。</w:t>
      </w:r>
    </w:p>
    <w:p w14:paraId="2FBDA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 xml:space="preserve">第八条 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  <w:t>费税计征</w:t>
      </w:r>
    </w:p>
    <w:p w14:paraId="07ADE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 xml:space="preserve">1.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自2024年12月1日水资源费改税政策实施后，乡镇水管所严格按照财政部、税务总局、水利部联合发布的财税〔2024〕28号《水资源税改革试点实施办法》第三条、第十六条规定，对应急抗旱取水免征水资源税。 </w:t>
      </w:r>
    </w:p>
    <w:p w14:paraId="665A1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 凭县水资源管理委员会出具的开机证明材料，保障抗旱井应急运行。执行地表与地下水统一水价标准，采用“以电折水”方式核定并计收水费，保障抗旱井应急运行。</w:t>
      </w:r>
    </w:p>
    <w:p w14:paraId="2FAE4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3. 未经批准，任何单位或个人不得擅自开启抗旱井取水。对擅自取水的，按对应取水类型适用税额标准的五倍依法征收水资源税。 </w:t>
      </w:r>
    </w:p>
    <w:p w14:paraId="3C64B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第四章 维护与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  <w:t>运行</w:t>
      </w:r>
    </w:p>
    <w:p w14:paraId="184D8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第九条 维护</w:t>
      </w:r>
    </w:p>
    <w:p w14:paraId="1EFB6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1. 水利局每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年至少对井房、水泵、配电柜等设施开展两次全面检查工作，以确保设备处于完好状态，配套设施能够正常运行。</w:t>
      </w:r>
    </w:p>
    <w:p w14:paraId="00B08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2. 抗旱井的运行由当地水管所负责看护，维修工作由水利局专门部门承担。维修费用在水费末级渠道维护费中列支，产生的电费以电折水的方式计征水费。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 xml:space="preserve"> </w:t>
      </w:r>
    </w:p>
    <w:p w14:paraId="7F368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第十条 故障处理</w:t>
      </w:r>
    </w:p>
    <w:p w14:paraId="04939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1.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 xml:space="preserve">当出现一般故障时，水利局管护单位需及时组织开展维修工作。 </w:t>
      </w:r>
    </w:p>
    <w:p w14:paraId="0ED25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2. 若发生重大故障，管护单位应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立即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停止使用相关设施，设置明显的警示标志，并在二十四小时内向县级水行政主管部门报告，由专业队伍进行修复。若因人为因素导致损毁，需倒查责任并追回损失。</w:t>
      </w:r>
    </w:p>
    <w:p w14:paraId="24BB1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3. 若因塌方导致井报废，乡水管所应当及时向县水行政主管部门上报置换手续，严禁擅自取消井指标，以避免造成抗旱救灾井功能丧失。 </w:t>
      </w:r>
    </w:p>
    <w:p w14:paraId="5BAC6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第五章 安全管理</w:t>
      </w:r>
    </w:p>
    <w:p w14:paraId="0600D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第十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条 安全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  <w:t>生产</w:t>
      </w:r>
    </w:p>
    <w:p w14:paraId="157BB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1.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所有电力线路与设备均须符合安全规范，应由专业电工进行安装、检修，并经验收合格。抗旱井严禁绕线取水或无计量取水，不得擅自将抗旱井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配套设施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提供给他人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使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 xml:space="preserve">用。 </w:t>
      </w:r>
    </w:p>
    <w:p w14:paraId="7DD51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2.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 xml:space="preserve">操作人员需接受安全培训，熟知操作规程，作业时应两人协同操作，严禁进行带电作业。若因违规操作导致事故发生，井管员需自行承担责任。 </w:t>
      </w:r>
    </w:p>
    <w:p w14:paraId="6744F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.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井口应设置牢固的防护盖或护栏，并设置显著的安全警示标志。井管员对抗旱井计量信息的采集与上传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 xml:space="preserve">直接责任。若出现水电量异常或井配套财产丢失的情况，井管员需承担全部责任并进行赔偿。 </w:t>
      </w:r>
    </w:p>
    <w:p w14:paraId="1C723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.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严禁无关人员，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特别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是儿童，在井房及周边区域玩耍、逗留。井管员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 xml:space="preserve">水管跑、漏、冒情况的上报，水利局抗旱服务队负责相关修理工作，同时应秉持节约用水原则。 </w:t>
      </w:r>
    </w:p>
    <w:p w14:paraId="48D75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第六章 监督与考核</w:t>
      </w:r>
    </w:p>
    <w:p w14:paraId="22C27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第十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条 监督检查</w:t>
      </w:r>
    </w:p>
    <w:p w14:paraId="71B5D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县级水行政主管部门应当定期或不定期对抗旱井的管理、运行及维护状况开展监督检查，针对所发现的问题，责令相关方面在规定期限内进行整改。</w:t>
      </w:r>
    </w:p>
    <w:p w14:paraId="32CAE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因井管员工作失误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导致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国家资源流失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，井管员需承担全部责任，触犯法律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 xml:space="preserve">，则依法追究其法律责任。 </w:t>
      </w:r>
    </w:p>
    <w:p w14:paraId="0BCDF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第十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条 考核奖惩</w:t>
      </w:r>
    </w:p>
    <w:p w14:paraId="52481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1.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将抗旱井管理工作纳入相关责任单位及人员的年度考核范畴。</w:t>
      </w:r>
    </w:p>
    <w:p w14:paraId="56C86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2. 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 xml:space="preserve">管理规范、运行状况良好、效益显著的单位与个人，予以通报表扬或给予适当奖励。 </w:t>
      </w:r>
    </w:p>
    <w:p w14:paraId="36E94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3.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对因管理失当、玩忽职守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导致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设备损坏、水资源浪费或引发安全事故的，将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根据情节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 xml:space="preserve">追究相关责任人的责任；若构成犯罪，依法移送司法机关进行处理。 </w:t>
      </w:r>
    </w:p>
    <w:p w14:paraId="17F1A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第七章 附则</w:t>
      </w:r>
    </w:p>
    <w:p w14:paraId="548C0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第十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办法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由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皮山县水利局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负责解释。</w:t>
      </w:r>
    </w:p>
    <w:p w14:paraId="4793E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第十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本办法自XX年X月X日起施行,有效期至XX年X月X日。</w:t>
      </w:r>
    </w:p>
    <w:p w14:paraId="390EB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4FAA0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0BA21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471D9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47FE7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1C722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</w:p>
    <w:p w14:paraId="3808F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</w:p>
    <w:p w14:paraId="0C864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</w:p>
    <w:p w14:paraId="3BF83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</w:p>
    <w:p w14:paraId="50A2D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</w:p>
    <w:p w14:paraId="74F64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sectPr>
          <w:footerReference r:id="rId3" w:type="default"/>
          <w:pgSz w:w="11906" w:h="16838"/>
          <w:pgMar w:top="2098" w:right="1531" w:bottom="1984" w:left="1531" w:header="851" w:footer="1417" w:gutter="0"/>
          <w:pgNumType w:fmt="decimal" w:start="1"/>
          <w:cols w:space="425" w:num="1"/>
          <w:docGrid w:type="lines" w:linePitch="312" w:charSpace="0"/>
        </w:sectPr>
      </w:pPr>
    </w:p>
    <w:p w14:paraId="667C0FD9"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1915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6F16AD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6F16AD"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1CC0F1"/>
    <w:multiLevelType w:val="singleLevel"/>
    <w:tmpl w:val="E61CC0F1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EB55A95E"/>
    <w:multiLevelType w:val="singleLevel"/>
    <w:tmpl w:val="EB55A95E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E6BCD"/>
    <w:rsid w:val="1AC1381B"/>
    <w:rsid w:val="48CC33BA"/>
    <w:rsid w:val="619E6BCD"/>
    <w:rsid w:val="628B743B"/>
    <w:rsid w:val="637737BC"/>
    <w:rsid w:val="648259BF"/>
    <w:rsid w:val="77A8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2026-01-15T08:47:00Z</dcterms:created>
  <dc:creator>*  迷路时你就往前走、</dc:creator>
  <cp:lastModifiedBy>admin</cp:lastModifiedBy>
  <dcterms:modified xsi:type="dcterms:W3CDTF">2026-01-15T11:06:28Z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F055AFCED0524EED8C1A722E1331DA6C_13</vt:lpwstr>
  </property>
  <property fmtid="{D5CDD505-2E9C-101B-9397-08002B2CF9AE}" pid="4" name="KSOTemplateDocerSaveRecord">
    <vt:lpwstr>eyJoZGlkIjoiM2VkMWQ4N2ZjMjVjZDZhYzI2OTc3NWY0ZDM5ZTg1ZDgiLCJ1c2VySWQiOiI1NjA1NDU3OTMifQ==</vt:lpwstr>
  </property>
</Properties>
</file>