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r>
        <w:rPr>
          <w:rFonts w:hint="eastAsia" w:ascii="黑体" w:hAnsi="ArialUnicodeMS" w:eastAsia="黑体"/>
          <w:color w:val="000000"/>
          <w:sz w:val="44"/>
          <w:szCs w:val="44"/>
        </w:rPr>
        <w:t>皮山县机关事务服务中心</w:t>
      </w: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r>
        <w:rPr>
          <w:rFonts w:hint="eastAsia" w:ascii="黑体" w:hAnsi="ArialUnicodeMS" w:eastAsia="黑体"/>
          <w:color w:val="000000"/>
          <w:sz w:val="44"/>
          <w:szCs w:val="44"/>
        </w:rPr>
        <w:t>2025年部门预算公开</w:t>
      </w:r>
    </w:p>
    <w:p>
      <w:pPr>
        <w:jc w:val="center"/>
        <w:rPr>
          <w:rFonts w:hint="default" w:ascii="黑体" w:eastAsia="黑体"/>
          <w:color w:val="000000"/>
          <w:sz w:val="36"/>
          <w:szCs w:val="36"/>
        </w:rPr>
      </w:pPr>
      <w:r>
        <w:rPr>
          <w:rFonts w:hint="eastAsia" w:ascii="ArialUnicodeMS" w:hAnsi="ArialUnicodeMS"/>
          <w:color w:val="000000"/>
          <w:sz w:val="44"/>
          <w:szCs w:val="44"/>
        </w:rPr>
        <w:br w:type="page"/>
      </w:r>
      <w:r>
        <w:rPr>
          <w:rFonts w:hint="eastAsia" w:ascii="黑体" w:eastAsia="黑体"/>
          <w:color w:val="000000"/>
          <w:sz w:val="36"/>
          <w:szCs w:val="36"/>
        </w:rPr>
        <w:t>目 录</w:t>
      </w:r>
    </w:p>
    <w:p>
      <w:pPr>
        <w:spacing w:line="560" w:lineRule="exact"/>
        <w:jc w:val="center"/>
        <w:rPr>
          <w:rFonts w:hint="default" w:ascii="黑体" w:eastAsia="黑体"/>
          <w:color w:val="000000"/>
          <w:sz w:val="36"/>
          <w:szCs w:val="36"/>
        </w:rPr>
      </w:pP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第一部分  2025年部门概况</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主要职能</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机构设置及人员情况</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第二部分 2025年部门预算公开表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部门收支总体情况表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部门收入总体情况表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三、 部门支出总体情况表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四、 财政拨款收支预算总体情况表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五、 一般公共预算支出情况表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六、 一般公共预算基本支出情况表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七、 一般公共预算项目支出情况表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八、 政府性基金预算支出情况表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九、 国有资本经营预算支出情况表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 财政拨款“三公”经费支出情况表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十一、 上年结转结余情况明细表</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第三部分 2025年部门预算情况说明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关于皮山县机关事务服务中心2025年收支预算情况的总体说明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关于皮山县机关事务服务中心2025年收入预算情况说明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三、 关于皮山县机关事务服务中心2025年支出预算情况说明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四、 关于皮山县机关事务服务中心2025年财政拨款收支预算情况的总体说明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五、 关于皮山县机关事务服务中心2025年一般公共预算当年拨款情况说明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六、 关于皮山县机关事务服务中心2025年一般公共预算基本支出情况说明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七、 关于皮山县机关事务服务中心2025年一般公共预算项目支出情况说明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八、 关于皮山县机关事务服务中心2025年政府性基金预算拨款情况说明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九、 关于皮山县机关事务服务中心2025年国有资本经营预算拨款情况说明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 关于皮山县机关事务服务中心2025年财政拨款“三公”经费预算情况说明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十一、 关于皮山县机关事务服务中心2025年上年结转结余预算情况说明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十二、 其他重要事项的情况说明</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第四部分 名词解释</w:t>
      </w:r>
    </w:p>
    <w:p>
      <w:pPr>
        <w:jc w:val="left"/>
        <w:rPr>
          <w:rFonts w:hint="default" w:ascii="宋体" w:hAnsi="宋体"/>
          <w:color w:val="000000"/>
          <w:sz w:val="18"/>
          <w:szCs w:val="18"/>
        </w:rPr>
      </w:pPr>
    </w:p>
    <w:p>
      <w:pPr>
        <w:pStyle w:val="2"/>
        <w:spacing w:before="156" w:beforeLines="50" w:after="156" w:afterLines="50" w:line="560" w:lineRule="exact"/>
        <w:jc w:val="center"/>
        <w:rPr>
          <w:rFonts w:hint="default" w:ascii="黑体" w:eastAsia="黑体"/>
          <w:sz w:val="30"/>
          <w:szCs w:val="30"/>
        </w:rPr>
      </w:pPr>
      <w:r>
        <w:rPr>
          <w:rFonts w:hint="default" w:ascii="黑体" w:eastAsia="黑体"/>
          <w:sz w:val="30"/>
          <w:szCs w:val="30"/>
        </w:rPr>
        <w:br w:type="page"/>
      </w:r>
      <w:r>
        <w:rPr>
          <w:rFonts w:hint="eastAsia" w:ascii="黑体" w:eastAsia="黑体"/>
          <w:sz w:val="30"/>
          <w:szCs w:val="30"/>
        </w:rPr>
        <w:t>第一部分  2025年部门概况</w:t>
      </w:r>
    </w:p>
    <w:p>
      <w:pPr>
        <w:pStyle w:val="3"/>
        <w:numPr>
          <w:ilvl w:val="0"/>
          <w:numId w:val="1"/>
        </w:numPr>
        <w:spacing w:before="0" w:after="0" w:line="560" w:lineRule="exact"/>
        <w:ind w:left="0" w:firstLine="565" w:firstLineChars="201"/>
        <w:rPr>
          <w:rFonts w:hint="default" w:ascii="仿宋" w:hAnsi="华文楷体" w:eastAsia="仿宋"/>
          <w:sz w:val="28"/>
          <w:szCs w:val="28"/>
        </w:rPr>
      </w:pPr>
      <w:r>
        <w:rPr>
          <w:rFonts w:hint="eastAsia" w:ascii="仿宋" w:hAnsi="华文楷体" w:eastAsia="仿宋"/>
          <w:sz w:val="28"/>
          <w:szCs w:val="28"/>
        </w:rPr>
        <w:t>主要职能</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公共机构节能监督管理检查：1.调研评估：分析能耗现状，评估节能潜力。2.制定规划：明确节能目标、重点领域及保障措施。3.分解任务：将年度目标细化为具体实施方案。</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能耗统计监测。1.制度建设：建立能耗统计台账，指定专人负责。2.数据汇总：公共机构按年度报送能耗报告，部门汇总分析。3.动态监测：利用信息平台实时监控能耗异常。</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定额与标准。1.数据分析：结合行业特点确定能耗定额。2.标准制定：财政部门配套制定支出标准。3.动态调整：根据发展需求更新定额与标准。</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监督检查。1.方案制定：明确检查范围、内容及方式。2.实地核查：重点检查制度落实、计量设备及能耗数据。3.整改闭环：对问题机构下达整改通知并跟踪落实。</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宣传培训。1.活动策划：组织节能周、知识竞赛等宣传活动。2.专业培训：定期开展节能政策与技术培训。六、考核评价。1.指标体系：设定科学量化的考核指标。2.综合考评：结合自评、审核与抽查确定等级。3.结果应用：将考核结果与评优、问责挂钩。</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党政机关公务用车监督管理检查：一、一般公务用车编制管理。1.调研评估：依据单位职能、人员编制、工作需求，核定车辆实际需求。2.制定方案：按国家/地方标准，明确编制数量、车型等配备标准。</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二、配备管理。1.需求申报：单位提交购车申请（用途、车型、数量）。2.预算审核：会同财政部门核定购车经费的合规性。3.经上级部门采购审批后确定采购方式（公开招标等），优先配备国产新能源车。4.采购执行：完成车辆采购并办理登记上牌。</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使用管理。1.制度建立：明确使用范围、审批流程、派车原则。2.调度安排：统筹车辆使用，动态分配资源。3.使用登记报备：记录用车时间、地点、事由、里程。4.安全维护：定期检查车辆性能，按时保养。5.监督检查：通过信息化或实地检查，严查公车私用。</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处置管理。1.申请处置：单位提交处置申请（年限、技术状况）。2.技术鉴定：第三方评估车况，出评估报告。3.审批执行：按程序批准后进行处置（报废）。4.收益上缴：处置收入按规定上缴国库。</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监督管理。1.制度完善：建立监督机制，明确责任主体。2.日常检查：定期核查编制、配备、使用等合规性。3.投诉处理：受理社会举报，严查违规行为。4.考核评价：纳入单位绩效考核，奖惩分明。</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党政机关办公用房监督管理检查：1.权属管理。调查建账：全面核查办公用房权属信息，建立不动产台账。部门协同：联合住建、自然资源等部门明确登记职责。材料归集：指导使用单位整理土地证、房产证等权属证明材料。统一登记：将产权集中办理至机关事务服务中心名下。协议确权：与使用单位签订使用协议，明确权责。2.配置管理。需求调研：统计各单位编制、业务发展用房需求。审核分配：按规定标准审核配备，并按需调剂现有闲置房源。3.使用监管。协议凭证：签订使用协议并核发使用凭证。动态检查：定期核查办公用房面积、用途及结构变动。信息更新：根据机构调整重新核定办公用房面积。4.处置利用。评估审核：委托专业机构评估资产价值。审批备案：按程序报批后公开处置。收入上缴：处置收益按规定上缴财政管理。5.监督检查。制定计划：明确年度检查范围与重点。实地核查：结合测量、查资料等方式检查。整改跟踪：对违规问题限期整改并复查。问责移送：重大问题移交纪检监察部门。</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党政机关公务接待监督管理：1.接待前准备。明确需求：机关事务管理部门收到公务活动通知，了解来访目的、行程、人员数量与级别，结合本地实际确定接待范围。拟定方案：参照全国及本地法规细则，按来宾级别安排食宿，考虑饮食差异确定用餐标准，确定接待用车，重要活动安排专人全程协调。审批备案：将含接待事由、对象、人数、行程、预算的文件、公函报本级主管部门审批，通过后按规定备案。2.接待过程管理。费用监管：依预算管控公务接待经费，实行“三单报账制度”预防超支。服务监督：把控住宿、用餐、用车标准，大型活动检测保障车辆，开展安全保密教育。3.接待工作结束后：整理费用凭证按流程结算，确保费用合规合法。留存接待资料，总结经验，优化后续接待工作。</w:t>
      </w:r>
    </w:p>
    <w:p>
      <w:pPr>
        <w:pStyle w:val="10"/>
        <w:numPr>
          <w:ilvl w:val="0"/>
          <w:numId w:val="2"/>
        </w:numPr>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党政机关固定资产管理：1.资产管理与处置；2.资产使用和监督管理；3.资产盘点清查。二、资产处置流程。1.处置申请；2.审批流程；3.处置实施；4.收入管理。</w:t>
      </w:r>
    </w:p>
    <w:p>
      <w:pPr>
        <w:pStyle w:val="3"/>
        <w:numPr>
          <w:ilvl w:val="0"/>
          <w:numId w:val="1"/>
        </w:numPr>
        <w:spacing w:before="0" w:after="0" w:line="560" w:lineRule="exact"/>
        <w:ind w:left="0" w:firstLine="565" w:firstLineChars="201"/>
        <w:rPr>
          <w:rFonts w:hint="default" w:ascii="仿宋" w:hAnsi="华文楷体" w:eastAsia="仿宋"/>
          <w:sz w:val="28"/>
          <w:szCs w:val="28"/>
        </w:rPr>
      </w:pPr>
      <w:r>
        <w:rPr>
          <w:rFonts w:hint="eastAsia" w:ascii="仿宋" w:hAnsi="华文楷体" w:eastAsia="仿宋"/>
          <w:sz w:val="28"/>
          <w:szCs w:val="28"/>
        </w:rPr>
        <w:t>机构设置及人员情况</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皮山县机关事务服务中心无下属预算单位，下设4个科室，分别是：财务科、综合科、固定资产管理科、公务接待科。</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皮山县机关事务服务中心编制数29，实有人数56人，其中：在职38人，增加1人；退休18人，增加0人；离休0人，增加0人。</w:t>
      </w:r>
    </w:p>
    <w:p>
      <w:pPr>
        <w:pStyle w:val="2"/>
        <w:spacing w:before="156" w:beforeLines="50" w:after="156" w:afterLines="50" w:line="400" w:lineRule="exact"/>
        <w:jc w:val="center"/>
        <w:rPr>
          <w:rFonts w:hint="default" w:ascii="黑体" w:eastAsia="黑体"/>
          <w:sz w:val="30"/>
          <w:szCs w:val="30"/>
        </w:rPr>
      </w:pPr>
      <w:r>
        <w:rPr>
          <w:rFonts w:hint="eastAsia" w:ascii="仿宋" w:hAnsi="仿宋" w:eastAsia="仿宋"/>
          <w:color w:val="000000"/>
          <w:sz w:val="28"/>
          <w:szCs w:val="28"/>
        </w:rPr>
        <w:br w:type="page"/>
      </w:r>
      <w:r>
        <w:rPr>
          <w:rFonts w:hint="eastAsia" w:ascii="黑体" w:eastAsia="黑体"/>
          <w:sz w:val="30"/>
          <w:szCs w:val="30"/>
        </w:rPr>
        <w:t>第二部分 2025年部门预算公开表</w:t>
      </w:r>
    </w:p>
    <w:p>
      <w:pPr>
        <w:jc w:val="left"/>
        <w:rPr>
          <w:rFonts w:hint="default" w:ascii="宋体" w:hAnsi="宋体"/>
          <w:color w:val="000000"/>
          <w:sz w:val="18"/>
          <w:szCs w:val="18"/>
        </w:rPr>
      </w:pPr>
      <w:r>
        <w:rPr>
          <w:rFonts w:hint="eastAsia" w:ascii="宋体" w:hAnsi="宋体"/>
          <w:color w:val="000000"/>
          <w:sz w:val="18"/>
          <w:szCs w:val="18"/>
        </w:rPr>
        <w:t>表1</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部门收支总体情况表</w:t>
      </w:r>
    </w:p>
    <w:tbl>
      <w:tblPr>
        <w:tblStyle w:val="8"/>
        <w:tblW w:w="9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600"/>
        <w:gridCol w:w="1150"/>
        <w:gridCol w:w="3600"/>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8350" w:type="dxa"/>
            <w:gridSpan w:val="3"/>
            <w:tcBorders>
              <w:top w:val="nil"/>
              <w:left w:val="nil"/>
              <w:bottom w:val="single" w:color="auto" w:sz="4" w:space="0"/>
              <w:right w:val="nil"/>
            </w:tcBorders>
            <w:shd w:val="clear" w:color="auto" w:fill="auto"/>
          </w:tcPr>
          <w:p>
            <w:pPr>
              <w:jc w:val="left"/>
              <w:rPr>
                <w:rFonts w:hint="default" w:ascii="宋体" w:hAnsi="宋体"/>
                <w:color w:val="000000"/>
                <w:sz w:val="18"/>
                <w:szCs w:val="18"/>
              </w:rPr>
            </w:pPr>
            <w:r>
              <w:rPr>
                <w:rFonts w:hint="eastAsia"/>
                <w:color w:val="000000"/>
                <w:sz w:val="18"/>
                <w:szCs w:val="18"/>
              </w:rPr>
              <w:t>编制部门：皮山县机关事务服务中心</w:t>
            </w:r>
          </w:p>
        </w:tc>
        <w:tc>
          <w:tcPr>
            <w:tcW w:w="1150" w:type="dxa"/>
            <w:tcBorders>
              <w:top w:val="nil"/>
              <w:left w:val="nil"/>
              <w:bottom w:val="single" w:color="auto" w:sz="4" w:space="0"/>
              <w:right w:val="nil"/>
            </w:tcBorders>
            <w:shd w:val="clear" w:color="auto" w:fill="auto"/>
          </w:tcPr>
          <w:p>
            <w:pPr>
              <w:jc w:val="right"/>
              <w:rPr>
                <w:rFonts w:hint="default" w:ascii="宋体" w:hAnsi="宋体"/>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rPr>
            </w:pPr>
            <w:r>
              <w:rPr>
                <w:rFonts w:hint="eastAsia" w:ascii="宋体" w:hAnsi="宋体"/>
                <w:b/>
                <w:color w:val="000000"/>
                <w:sz w:val="18"/>
                <w:szCs w:val="18"/>
              </w:rPr>
              <w:t>收入</w:t>
            </w:r>
          </w:p>
        </w:tc>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rPr>
            </w:pPr>
            <w:r>
              <w:rPr>
                <w:rFonts w:hint="eastAsia" w:ascii="宋体" w:hAnsi="宋体"/>
                <w:b/>
                <w:color w:val="000000"/>
                <w:sz w:val="18"/>
                <w:szCs w:val="18"/>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项目</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预算数</w:t>
            </w:r>
          </w:p>
        </w:tc>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功能分类</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一、本年收入</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1,057.51</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201 一般公共服务支出</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851.76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1.一般公共预算拨款</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1,057.51</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202 外交支出</w:t>
            </w: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其中：一般财力</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1,057.51</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203 国防支出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上级一般公共预算安排转移支付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204 公共安全支出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2.政府性基金预算拨款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205 教育支出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其中：政府性基金收入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206 科学技术支出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 xml:space="preserve">      上级政府性基金安排转移支付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207 文化旅游体育与传媒支出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3.国有资本经营预算拨款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208 社会保障和就业支出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119.97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其中：国有资本经营收入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209 社会保险基金支出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上级国有资本经营预算安排转移支付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210 卫生健康支出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4.财政专户核拨</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211 节能环保支出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5.单位资金</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212 城乡社区支出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其中：事业收入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213 农林水支出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上级补助收入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214 交通运输支出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附属单位上缴收入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215 资源勘探工业信息等支出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事业单位经营收入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216 商业服务业等支出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其他收入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217 金融支出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二、上年结转结余</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219 援助其他地区支出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1.财政拨款结转</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220 自然资源海洋气象等支出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其中：一般公共预算拨款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221 住房保障支出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55.64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政府性基金预算拨款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222 粮油物资储备支出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国有资本经营预算拨款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223 国有资本经营预算支出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2.非财政拨款结转结余</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224 灾害防治及应急管理支出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其中：财政专户核拨</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227 预备费</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单位资金</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229 其他支出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230 转移性支出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231 债务还本支出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232 债务付息支出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233 债务发行费用支出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21"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tcPr>
          <w:p>
            <w:pPr>
              <w:rPr>
                <w:rFonts w:hint="default" w:ascii="宋体" w:hAnsi="宋体" w:cs="宋体"/>
                <w:color w:val="000000"/>
                <w:sz w:val="18"/>
                <w:szCs w:val="18"/>
              </w:rPr>
            </w:pP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jc w:val="center"/>
              <w:rPr>
                <w:rFonts w:hint="default" w:ascii="宋体" w:hAnsi="宋体"/>
                <w:color w:val="000000"/>
                <w:sz w:val="18"/>
                <w:szCs w:val="18"/>
              </w:rPr>
            </w:pPr>
            <w:r>
              <w:rPr>
                <w:rFonts w:hint="eastAsia" w:ascii="宋体" w:hAnsi="宋体"/>
                <w:b/>
                <w:color w:val="000000"/>
                <w:sz w:val="18"/>
                <w:szCs w:val="18"/>
              </w:rPr>
              <w:t>收 入 总 计</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1,057.51</w:t>
            </w:r>
          </w:p>
        </w:tc>
        <w:tc>
          <w:tcPr>
            <w:tcW w:w="3600" w:type="dxa"/>
            <w:shd w:val="clear" w:color="auto" w:fill="auto"/>
          </w:tcPr>
          <w:p>
            <w:pPr>
              <w:jc w:val="center"/>
              <w:rPr>
                <w:rFonts w:hint="default" w:ascii="宋体" w:hAnsi="宋体" w:cs="宋体"/>
                <w:color w:val="000000"/>
                <w:sz w:val="18"/>
                <w:szCs w:val="18"/>
              </w:rPr>
            </w:pPr>
            <w:r>
              <w:rPr>
                <w:rFonts w:hint="eastAsia" w:ascii="宋体" w:hAnsi="宋体"/>
                <w:b/>
                <w:color w:val="000000"/>
                <w:sz w:val="18"/>
                <w:szCs w:val="18"/>
              </w:rPr>
              <w:t>支 出 总 计</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1,057.51</w:t>
            </w:r>
          </w:p>
        </w:tc>
      </w:tr>
    </w:tbl>
    <w:p>
      <w:pPr>
        <w:widowControl/>
        <w:jc w:val="left"/>
        <w:rPr>
          <w:rFonts w:hint="default" w:ascii="仿宋" w:eastAsia="仿宋"/>
          <w:b/>
          <w:color w:val="000000"/>
          <w:szCs w:val="21"/>
        </w:rPr>
        <w:sectPr>
          <w:footerReference r:id="rId3" w:type="default"/>
          <w:pgSz w:w="11906" w:h="16838"/>
          <w:pgMar w:top="1134" w:right="1134" w:bottom="993"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表2</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部门收入总体情况表</w:t>
      </w:r>
    </w:p>
    <w:tbl>
      <w:tblPr>
        <w:tblStyle w:val="8"/>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34"/>
        <w:gridCol w:w="256"/>
        <w:gridCol w:w="247"/>
        <w:gridCol w:w="2433"/>
        <w:gridCol w:w="1070"/>
        <w:gridCol w:w="1128"/>
        <w:gridCol w:w="1082"/>
        <w:gridCol w:w="1082"/>
        <w:gridCol w:w="328"/>
        <w:gridCol w:w="329"/>
        <w:gridCol w:w="1113"/>
        <w:gridCol w:w="885"/>
        <w:gridCol w:w="918"/>
        <w:gridCol w:w="876"/>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289" w:type="dxa"/>
            <w:gridSpan w:val="10"/>
            <w:tcBorders>
              <w:top w:val="nil"/>
              <w:left w:val="nil"/>
              <w:bottom w:val="single" w:color="auto" w:sz="4" w:space="0"/>
              <w:right w:val="nil"/>
            </w:tcBorders>
            <w:shd w:val="clear" w:color="auto" w:fill="auto"/>
          </w:tcPr>
          <w:p>
            <w:pPr>
              <w:jc w:val="left"/>
              <w:rPr>
                <w:rFonts w:hint="default" w:ascii="宋体" w:hAnsi="宋体"/>
                <w:sz w:val="18"/>
                <w:szCs w:val="18"/>
              </w:rPr>
            </w:pPr>
            <w:r>
              <w:rPr>
                <w:rFonts w:hint="eastAsia"/>
                <w:color w:val="000000"/>
                <w:sz w:val="18"/>
                <w:szCs w:val="18"/>
              </w:rPr>
              <w:t>编制部门：皮山县机关事务服务中心</w:t>
            </w:r>
          </w:p>
        </w:tc>
        <w:tc>
          <w:tcPr>
            <w:tcW w:w="6420" w:type="dxa"/>
            <w:gridSpan w:val="7"/>
            <w:tcBorders>
              <w:top w:val="nil"/>
              <w:left w:val="nil"/>
              <w:bottom w:val="single" w:color="auto" w:sz="4" w:space="0"/>
              <w:right w:val="nil"/>
            </w:tcBorders>
            <w:shd w:val="clear" w:color="auto" w:fill="auto"/>
            <w:vAlign w:val="center"/>
          </w:tcPr>
          <w:p>
            <w:pPr>
              <w:jc w:val="right"/>
              <w:rPr>
                <w:rFonts w:hint="eastAsia"/>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37" w:type="dxa"/>
            <w:gridSpan w:val="3"/>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功能分类科目编码</w:t>
            </w:r>
          </w:p>
        </w:tc>
        <w:tc>
          <w:tcPr>
            <w:tcW w:w="2433" w:type="dxa"/>
            <w:vMerge w:val="restart"/>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功能分类科目名称</w:t>
            </w:r>
          </w:p>
        </w:tc>
        <w:tc>
          <w:tcPr>
            <w:tcW w:w="1070" w:type="dxa"/>
            <w:vMerge w:val="restart"/>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总计</w:t>
            </w:r>
          </w:p>
        </w:tc>
        <w:tc>
          <w:tcPr>
            <w:tcW w:w="6865" w:type="dxa"/>
            <w:gridSpan w:val="8"/>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财政拨款（补助）</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财政专户（教育收费）</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单位资金</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财政拨款结转</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非财政拨款结转结余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0" w:hRule="atLeast"/>
          <w:tblHeader/>
        </w:trPr>
        <w:tc>
          <w:tcPr>
            <w:tcW w:w="334" w:type="dxa"/>
            <w:shd w:val="clear" w:color="auto" w:fill="auto"/>
            <w:vAlign w:val="center"/>
          </w:tcPr>
          <w:p>
            <w:pPr>
              <w:jc w:val="center"/>
              <w:rPr>
                <w:rFonts w:hint="default" w:ascii="宋体" w:hAnsi="宋体"/>
                <w:sz w:val="18"/>
                <w:szCs w:val="18"/>
              </w:rPr>
            </w:pPr>
            <w:r>
              <w:rPr>
                <w:rFonts w:hint="eastAsia" w:ascii="宋体" w:hAnsi="宋体"/>
                <w:sz w:val="18"/>
                <w:szCs w:val="18"/>
              </w:rPr>
              <w:t>类</w:t>
            </w:r>
          </w:p>
        </w:tc>
        <w:tc>
          <w:tcPr>
            <w:tcW w:w="256" w:type="dxa"/>
            <w:shd w:val="clear" w:color="auto" w:fill="auto"/>
            <w:vAlign w:val="center"/>
          </w:tcPr>
          <w:p>
            <w:pPr>
              <w:jc w:val="center"/>
              <w:rPr>
                <w:rFonts w:hint="default" w:ascii="宋体" w:hAnsi="宋体"/>
                <w:sz w:val="18"/>
                <w:szCs w:val="18"/>
              </w:rPr>
            </w:pPr>
            <w:r>
              <w:rPr>
                <w:rFonts w:hint="eastAsia" w:ascii="宋体" w:hAnsi="宋体"/>
                <w:sz w:val="18"/>
                <w:szCs w:val="18"/>
              </w:rPr>
              <w:t>款</w:t>
            </w:r>
          </w:p>
        </w:tc>
        <w:tc>
          <w:tcPr>
            <w:tcW w:w="247" w:type="dxa"/>
            <w:shd w:val="clear" w:color="auto" w:fill="auto"/>
            <w:vAlign w:val="center"/>
          </w:tcPr>
          <w:p>
            <w:pPr>
              <w:jc w:val="center"/>
              <w:rPr>
                <w:rFonts w:hint="default" w:ascii="宋体" w:hAnsi="宋体"/>
                <w:sz w:val="18"/>
                <w:szCs w:val="18"/>
              </w:rPr>
            </w:pPr>
            <w:r>
              <w:rPr>
                <w:rFonts w:hint="eastAsia" w:ascii="宋体" w:hAnsi="宋体"/>
                <w:sz w:val="18"/>
                <w:szCs w:val="18"/>
              </w:rPr>
              <w:t>项</w:t>
            </w:r>
          </w:p>
        </w:tc>
        <w:tc>
          <w:tcPr>
            <w:tcW w:w="2433" w:type="dxa"/>
            <w:vMerge w:val="continue"/>
            <w:shd w:val="clear" w:color="auto" w:fill="auto"/>
            <w:vAlign w:val="center"/>
          </w:tcPr>
          <w:p>
            <w:pPr>
              <w:jc w:val="center"/>
              <w:rPr>
                <w:rFonts w:hint="default" w:ascii="宋体" w:hAnsi="宋体"/>
                <w:sz w:val="18"/>
                <w:szCs w:val="18"/>
              </w:rPr>
            </w:pPr>
          </w:p>
        </w:tc>
        <w:tc>
          <w:tcPr>
            <w:tcW w:w="1070" w:type="dxa"/>
            <w:vMerge w:val="continue"/>
            <w:shd w:val="clear" w:color="auto" w:fill="auto"/>
            <w:vAlign w:val="center"/>
          </w:tcPr>
          <w:p>
            <w:pPr>
              <w:jc w:val="center"/>
              <w:rPr>
                <w:rFonts w:hint="default" w:ascii="宋体" w:hAnsi="宋体"/>
                <w:sz w:val="18"/>
                <w:szCs w:val="18"/>
              </w:rPr>
            </w:pPr>
          </w:p>
        </w:tc>
        <w:tc>
          <w:tcPr>
            <w:tcW w:w="1128" w:type="dxa"/>
            <w:shd w:val="clear" w:color="auto" w:fill="auto"/>
            <w:vAlign w:val="center"/>
          </w:tcPr>
          <w:p>
            <w:pPr>
              <w:jc w:val="center"/>
              <w:rPr>
                <w:rFonts w:hint="eastAsia" w:ascii="宋体" w:hAnsi="宋体"/>
                <w:sz w:val="18"/>
                <w:szCs w:val="18"/>
              </w:rPr>
            </w:pPr>
            <w:r>
              <w:rPr>
                <w:rFonts w:hint="eastAsia" w:ascii="宋体" w:hAnsi="宋体"/>
                <w:sz w:val="18"/>
                <w:szCs w:val="18"/>
              </w:rPr>
              <w:t>财政拨款(补助)小计</w:t>
            </w:r>
          </w:p>
        </w:tc>
        <w:tc>
          <w:tcPr>
            <w:tcW w:w="1082" w:type="dxa"/>
            <w:shd w:val="clear" w:color="auto" w:fill="auto"/>
            <w:vAlign w:val="center"/>
          </w:tcPr>
          <w:p>
            <w:pPr>
              <w:jc w:val="center"/>
              <w:rPr>
                <w:rFonts w:hint="eastAsia" w:ascii="宋体" w:hAnsi="宋体"/>
                <w:sz w:val="18"/>
                <w:szCs w:val="18"/>
              </w:rPr>
            </w:pPr>
            <w:r>
              <w:rPr>
                <w:rFonts w:hint="eastAsia" w:ascii="宋体" w:hAnsi="宋体"/>
                <w:sz w:val="18"/>
                <w:szCs w:val="18"/>
              </w:rPr>
              <w:t>一般公共预算</w:t>
            </w:r>
          </w:p>
        </w:tc>
        <w:tc>
          <w:tcPr>
            <w:tcW w:w="1082" w:type="dxa"/>
            <w:shd w:val="clear" w:color="auto" w:fill="auto"/>
            <w:vAlign w:val="center"/>
          </w:tcPr>
          <w:p>
            <w:pPr>
              <w:jc w:val="center"/>
              <w:rPr>
                <w:rFonts w:hint="eastAsia" w:ascii="宋体" w:hAnsi="宋体"/>
                <w:sz w:val="18"/>
                <w:szCs w:val="18"/>
              </w:rPr>
            </w:pPr>
            <w:r>
              <w:rPr>
                <w:rFonts w:hint="eastAsia" w:ascii="宋体" w:hAnsi="宋体"/>
                <w:sz w:val="18"/>
                <w:szCs w:val="18"/>
              </w:rPr>
              <w:t>上级一般公共预算安排的转移支付</w:t>
            </w:r>
          </w:p>
        </w:tc>
        <w:tc>
          <w:tcPr>
            <w:tcW w:w="328" w:type="dxa"/>
            <w:shd w:val="clear" w:color="auto" w:fill="auto"/>
            <w:vAlign w:val="center"/>
          </w:tcPr>
          <w:p>
            <w:pPr>
              <w:jc w:val="center"/>
              <w:rPr>
                <w:rFonts w:hint="eastAsia" w:ascii="宋体" w:hAnsi="宋体"/>
                <w:sz w:val="18"/>
                <w:szCs w:val="18"/>
              </w:rPr>
            </w:pPr>
            <w:r>
              <w:rPr>
                <w:rFonts w:hint="eastAsia" w:ascii="宋体" w:hAnsi="宋体"/>
                <w:sz w:val="18"/>
                <w:szCs w:val="18"/>
              </w:rPr>
              <w:t>政府性基金预算</w:t>
            </w:r>
          </w:p>
        </w:tc>
        <w:tc>
          <w:tcPr>
            <w:tcW w:w="1442" w:type="dxa"/>
            <w:gridSpan w:val="2"/>
            <w:shd w:val="clear" w:color="auto" w:fill="auto"/>
            <w:vAlign w:val="center"/>
          </w:tcPr>
          <w:p>
            <w:pPr>
              <w:jc w:val="center"/>
              <w:rPr>
                <w:rFonts w:hint="eastAsia" w:ascii="宋体" w:hAnsi="宋体"/>
                <w:sz w:val="18"/>
                <w:szCs w:val="18"/>
              </w:rPr>
            </w:pPr>
            <w:r>
              <w:rPr>
                <w:rFonts w:hint="eastAsia" w:ascii="宋体" w:hAnsi="宋体"/>
                <w:sz w:val="18"/>
                <w:szCs w:val="18"/>
              </w:rPr>
              <w:t>上级政府性基金安排的转移支付</w:t>
            </w:r>
          </w:p>
        </w:tc>
        <w:tc>
          <w:tcPr>
            <w:tcW w:w="885" w:type="dxa"/>
            <w:shd w:val="clear" w:color="auto" w:fill="auto"/>
            <w:vAlign w:val="center"/>
          </w:tcPr>
          <w:p>
            <w:pPr>
              <w:jc w:val="center"/>
              <w:rPr>
                <w:rFonts w:hint="eastAsia" w:ascii="宋体" w:hAnsi="宋体"/>
                <w:sz w:val="18"/>
                <w:szCs w:val="18"/>
              </w:rPr>
            </w:pPr>
            <w:r>
              <w:rPr>
                <w:rFonts w:hint="eastAsia" w:ascii="宋体" w:hAnsi="宋体"/>
                <w:sz w:val="18"/>
                <w:szCs w:val="18"/>
              </w:rPr>
              <w:t>国有资本经营预算</w:t>
            </w:r>
          </w:p>
        </w:tc>
        <w:tc>
          <w:tcPr>
            <w:tcW w:w="918" w:type="dxa"/>
            <w:shd w:val="clear" w:color="auto" w:fill="auto"/>
            <w:vAlign w:val="center"/>
          </w:tcPr>
          <w:p>
            <w:pPr>
              <w:jc w:val="center"/>
              <w:rPr>
                <w:rFonts w:hint="default" w:ascii="宋体" w:hAnsi="宋体"/>
                <w:sz w:val="18"/>
                <w:szCs w:val="18"/>
              </w:rPr>
            </w:pPr>
            <w:r>
              <w:rPr>
                <w:rFonts w:hint="eastAsia" w:ascii="宋体" w:hAnsi="宋体"/>
                <w:sz w:val="18"/>
                <w:szCs w:val="18"/>
              </w:rPr>
              <w:t>上级国有资本经营预算安排的转移支付</w:t>
            </w: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433"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1070" w:type="dxa"/>
            <w:shd w:val="clear" w:color="auto" w:fill="auto"/>
            <w:vAlign w:val="center"/>
          </w:tcPr>
          <w:p>
            <w:pPr>
              <w:jc w:val="center"/>
              <w:rPr>
                <w:rFonts w:hint="default" w:ascii="宋体" w:hAnsi="宋体"/>
                <w:sz w:val="18"/>
                <w:szCs w:val="18"/>
              </w:rPr>
            </w:pPr>
            <w:r>
              <w:rPr>
                <w:rFonts w:hint="eastAsia" w:ascii="宋体" w:hAnsi="宋体"/>
                <w:sz w:val="18"/>
                <w:szCs w:val="18"/>
              </w:rPr>
              <w:t>1</w:t>
            </w:r>
          </w:p>
        </w:tc>
        <w:tc>
          <w:tcPr>
            <w:tcW w:w="1128" w:type="dxa"/>
            <w:shd w:val="clear" w:color="auto" w:fill="auto"/>
            <w:vAlign w:val="center"/>
          </w:tcPr>
          <w:p>
            <w:pPr>
              <w:jc w:val="center"/>
              <w:rPr>
                <w:rFonts w:hint="default" w:ascii="宋体" w:hAnsi="宋体"/>
                <w:sz w:val="18"/>
                <w:szCs w:val="18"/>
              </w:rPr>
            </w:pPr>
            <w:r>
              <w:rPr>
                <w:rFonts w:hint="eastAsia" w:ascii="宋体" w:hAnsi="宋体"/>
                <w:sz w:val="18"/>
                <w:szCs w:val="18"/>
              </w:rPr>
              <w:t>2</w:t>
            </w:r>
          </w:p>
        </w:tc>
        <w:tc>
          <w:tcPr>
            <w:tcW w:w="1082" w:type="dxa"/>
            <w:shd w:val="clear" w:color="auto" w:fill="auto"/>
            <w:vAlign w:val="center"/>
          </w:tcPr>
          <w:p>
            <w:pPr>
              <w:jc w:val="center"/>
              <w:rPr>
                <w:rFonts w:hint="default" w:ascii="宋体" w:hAnsi="宋体"/>
                <w:sz w:val="18"/>
                <w:szCs w:val="18"/>
              </w:rPr>
            </w:pPr>
            <w:r>
              <w:rPr>
                <w:rFonts w:hint="eastAsia" w:ascii="宋体" w:hAnsi="宋体"/>
                <w:sz w:val="18"/>
                <w:szCs w:val="18"/>
              </w:rPr>
              <w:t>3</w:t>
            </w:r>
          </w:p>
        </w:tc>
        <w:tc>
          <w:tcPr>
            <w:tcW w:w="1082" w:type="dxa"/>
            <w:shd w:val="clear" w:color="auto" w:fill="auto"/>
            <w:vAlign w:val="center"/>
          </w:tcPr>
          <w:p>
            <w:pPr>
              <w:jc w:val="center"/>
              <w:rPr>
                <w:rFonts w:hint="default" w:ascii="宋体" w:hAnsi="宋体"/>
                <w:sz w:val="18"/>
                <w:szCs w:val="18"/>
              </w:rPr>
            </w:pPr>
            <w:r>
              <w:rPr>
                <w:rFonts w:hint="eastAsia" w:ascii="宋体" w:hAnsi="宋体"/>
                <w:sz w:val="18"/>
                <w:szCs w:val="18"/>
              </w:rPr>
              <w:t>4</w:t>
            </w:r>
          </w:p>
        </w:tc>
        <w:tc>
          <w:tcPr>
            <w:tcW w:w="328" w:type="dxa"/>
            <w:shd w:val="clear" w:color="auto" w:fill="auto"/>
          </w:tcPr>
          <w:p>
            <w:pPr>
              <w:jc w:val="center"/>
              <w:rPr>
                <w:rFonts w:hint="default" w:ascii="宋体" w:hAnsi="宋体"/>
                <w:sz w:val="18"/>
                <w:szCs w:val="18"/>
              </w:rPr>
            </w:pPr>
            <w:r>
              <w:rPr>
                <w:rFonts w:hint="eastAsia" w:ascii="宋体" w:hAnsi="宋体"/>
                <w:sz w:val="18"/>
                <w:szCs w:val="18"/>
              </w:rPr>
              <w:t>5</w:t>
            </w:r>
          </w:p>
        </w:tc>
        <w:tc>
          <w:tcPr>
            <w:tcW w:w="1442" w:type="dxa"/>
            <w:gridSpan w:val="2"/>
            <w:shd w:val="clear" w:color="auto" w:fill="auto"/>
            <w:vAlign w:val="center"/>
          </w:tcPr>
          <w:p>
            <w:pPr>
              <w:jc w:val="center"/>
              <w:rPr>
                <w:rFonts w:hint="default" w:ascii="宋体" w:hAnsi="宋体"/>
                <w:sz w:val="18"/>
                <w:szCs w:val="18"/>
              </w:rPr>
            </w:pPr>
            <w:r>
              <w:rPr>
                <w:rFonts w:hint="eastAsia" w:ascii="宋体" w:hAnsi="宋体"/>
                <w:sz w:val="18"/>
                <w:szCs w:val="18"/>
              </w:rPr>
              <w:t>6</w:t>
            </w:r>
          </w:p>
        </w:tc>
        <w:tc>
          <w:tcPr>
            <w:tcW w:w="885" w:type="dxa"/>
            <w:shd w:val="clear" w:color="auto" w:fill="auto"/>
            <w:vAlign w:val="center"/>
          </w:tcPr>
          <w:p>
            <w:pPr>
              <w:jc w:val="center"/>
              <w:rPr>
                <w:rFonts w:hint="default" w:ascii="宋体" w:hAnsi="宋体"/>
                <w:sz w:val="18"/>
                <w:szCs w:val="18"/>
              </w:rPr>
            </w:pPr>
            <w:r>
              <w:rPr>
                <w:rFonts w:hint="eastAsia" w:ascii="宋体" w:hAnsi="宋体"/>
                <w:sz w:val="18"/>
                <w:szCs w:val="18"/>
              </w:rPr>
              <w:t>7</w:t>
            </w:r>
          </w:p>
        </w:tc>
        <w:tc>
          <w:tcPr>
            <w:tcW w:w="918" w:type="dxa"/>
            <w:shd w:val="clear" w:color="auto" w:fill="auto"/>
          </w:tcPr>
          <w:p>
            <w:pPr>
              <w:jc w:val="center"/>
              <w:rPr>
                <w:rFonts w:hint="default" w:ascii="宋体" w:hAnsi="宋体"/>
                <w:sz w:val="18"/>
                <w:szCs w:val="18"/>
              </w:rPr>
            </w:pPr>
            <w:r>
              <w:rPr>
                <w:rFonts w:hint="eastAsia" w:ascii="宋体" w:hAnsi="宋体"/>
                <w:sz w:val="18"/>
                <w:szCs w:val="18"/>
              </w:rPr>
              <w:t>8</w:t>
            </w:r>
          </w:p>
        </w:tc>
        <w:tc>
          <w:tcPr>
            <w:tcW w:w="876" w:type="dxa"/>
            <w:shd w:val="clear" w:color="auto" w:fill="auto"/>
          </w:tcPr>
          <w:p>
            <w:pPr>
              <w:jc w:val="center"/>
              <w:rPr>
                <w:rFonts w:hint="default" w:ascii="宋体" w:hAnsi="宋体"/>
                <w:sz w:val="18"/>
                <w:szCs w:val="18"/>
              </w:rPr>
            </w:pPr>
            <w:r>
              <w:rPr>
                <w:rFonts w:hint="eastAsia" w:ascii="宋体" w:hAnsi="宋体"/>
                <w:sz w:val="18"/>
                <w:szCs w:val="18"/>
              </w:rPr>
              <w:t>9</w:t>
            </w:r>
          </w:p>
        </w:tc>
        <w:tc>
          <w:tcPr>
            <w:tcW w:w="876" w:type="dxa"/>
            <w:shd w:val="clear" w:color="auto" w:fill="auto"/>
          </w:tcPr>
          <w:p>
            <w:pPr>
              <w:jc w:val="center"/>
              <w:rPr>
                <w:rFonts w:hint="default" w:ascii="宋体" w:hAnsi="宋体"/>
                <w:sz w:val="18"/>
                <w:szCs w:val="18"/>
              </w:rPr>
            </w:pPr>
            <w:r>
              <w:rPr>
                <w:rFonts w:hint="eastAsia" w:ascii="宋体" w:hAnsi="宋体"/>
                <w:sz w:val="18"/>
                <w:szCs w:val="18"/>
              </w:rPr>
              <w:t>10</w:t>
            </w:r>
          </w:p>
        </w:tc>
        <w:tc>
          <w:tcPr>
            <w:tcW w:w="876" w:type="dxa"/>
            <w:shd w:val="clear" w:color="auto" w:fill="auto"/>
          </w:tcPr>
          <w:p>
            <w:pPr>
              <w:jc w:val="center"/>
              <w:rPr>
                <w:rFonts w:hint="eastAsia" w:ascii="宋体" w:hAnsi="宋体"/>
                <w:sz w:val="18"/>
                <w:szCs w:val="18"/>
              </w:rPr>
            </w:pPr>
            <w:r>
              <w:rPr>
                <w:rFonts w:hint="eastAsia" w:ascii="宋体" w:hAnsi="宋体"/>
                <w:sz w:val="18"/>
                <w:szCs w:val="18"/>
              </w:rPr>
              <w:t>11</w:t>
            </w:r>
          </w:p>
        </w:tc>
        <w:tc>
          <w:tcPr>
            <w:tcW w:w="876" w:type="dxa"/>
            <w:shd w:val="clear" w:color="auto" w:fill="auto"/>
          </w:tcPr>
          <w:p>
            <w:pPr>
              <w:jc w:val="center"/>
              <w:rPr>
                <w:rFonts w:hint="eastAsia" w:ascii="宋体" w:hAnsi="宋体"/>
                <w:sz w:val="18"/>
                <w:szCs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总计</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1,057.51</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1,057.51</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1,057.51</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201</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一般公共服务支出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851.76</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851.76</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851.76</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201</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03</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政府办公厅（室）及相关机构事务</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851.76</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851.76</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851.76</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201</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03</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03</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机关服务</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851.76</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851.76</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851.76</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208</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社会保障和就业支出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119.97</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119.97</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119.97</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208</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05</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行政事业单位养老支出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119.97</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119.97</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119.97</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208</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事业单位离退休</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22.78</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22.78</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22.78</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208</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机关事业单位基本养老保险缴费支出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74.19</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74.19</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74.19</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208</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06</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机关事业单位职业年金缴费支出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23.00</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23.00</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23.00</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210</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卫生健康支出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30.14</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30.14</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30.14</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210</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11</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行政事业单位医疗</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30.14</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30.14</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30.14</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210</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11</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事业单位医疗</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30.14</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30.14</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30.14</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221</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住房保障支出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55.64</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55.64</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55.64</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221</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02</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住房改革支出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55.64</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55.64</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55.64</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221</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01</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住房公积金</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55.64</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55.64</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55.64</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表3</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部门支出总体情况表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169"/>
        <w:gridCol w:w="1306"/>
        <w:gridCol w:w="1032"/>
        <w:gridCol w:w="27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8175" w:type="dxa"/>
            <w:gridSpan w:val="6"/>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编制部门：皮山县机关事务服务中心</w:t>
            </w:r>
          </w:p>
        </w:tc>
        <w:tc>
          <w:tcPr>
            <w:tcW w:w="1679"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837" w:type="dxa"/>
            <w:gridSpan w:val="4"/>
            <w:shd w:val="clear" w:color="auto" w:fill="auto"/>
            <w:vAlign w:val="center"/>
          </w:tcPr>
          <w:p>
            <w:pPr>
              <w:jc w:val="center"/>
              <w:rPr>
                <w:sz w:val="18"/>
                <w:szCs w:val="18"/>
              </w:rPr>
            </w:pPr>
            <w:r>
              <w:rPr>
                <w:rFonts w:hint="eastAsia"/>
                <w:sz w:val="18"/>
                <w:szCs w:val="18"/>
              </w:rPr>
              <w:t>科目</w:t>
            </w:r>
          </w:p>
        </w:tc>
        <w:tc>
          <w:tcPr>
            <w:tcW w:w="4017" w:type="dxa"/>
            <w:gridSpan w:val="4"/>
            <w:shd w:val="clear" w:color="auto" w:fill="auto"/>
            <w:vAlign w:val="center"/>
          </w:tcPr>
          <w:p>
            <w:pPr>
              <w:jc w:val="center"/>
              <w:rPr>
                <w:sz w:val="18"/>
                <w:szCs w:val="18"/>
              </w:rPr>
            </w:pPr>
            <w:r>
              <w:rPr>
                <w:rFonts w:hint="eastAsia"/>
                <w:sz w:val="18"/>
                <w:szCs w:val="18"/>
              </w:rPr>
              <w:t>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4169" w:type="dxa"/>
            <w:vMerge w:val="restart"/>
            <w:shd w:val="clear" w:color="auto" w:fill="auto"/>
            <w:vAlign w:val="center"/>
          </w:tcPr>
          <w:p>
            <w:pPr>
              <w:jc w:val="center"/>
              <w:rPr>
                <w:sz w:val="18"/>
                <w:szCs w:val="18"/>
              </w:rPr>
            </w:pPr>
            <w:r>
              <w:rPr>
                <w:rFonts w:hint="eastAsia"/>
                <w:sz w:val="18"/>
                <w:szCs w:val="18"/>
              </w:rPr>
              <w:t>功能分类科目名称</w:t>
            </w:r>
          </w:p>
        </w:tc>
        <w:tc>
          <w:tcPr>
            <w:tcW w:w="1306" w:type="dxa"/>
            <w:vMerge w:val="restart"/>
            <w:shd w:val="clear" w:color="auto" w:fill="auto"/>
            <w:vAlign w:val="center"/>
          </w:tcPr>
          <w:p>
            <w:pPr>
              <w:jc w:val="center"/>
              <w:rPr>
                <w:sz w:val="18"/>
                <w:szCs w:val="18"/>
              </w:rPr>
            </w:pPr>
            <w:r>
              <w:rPr>
                <w:rFonts w:hint="eastAsia"/>
                <w:sz w:val="18"/>
                <w:szCs w:val="18"/>
              </w:rPr>
              <w:t>合计</w:t>
            </w:r>
          </w:p>
        </w:tc>
        <w:tc>
          <w:tcPr>
            <w:tcW w:w="1306" w:type="dxa"/>
            <w:gridSpan w:val="2"/>
            <w:vMerge w:val="restart"/>
            <w:shd w:val="clear" w:color="auto" w:fill="auto"/>
            <w:vAlign w:val="center"/>
          </w:tcPr>
          <w:p>
            <w:pPr>
              <w:jc w:val="center"/>
              <w:rPr>
                <w:sz w:val="18"/>
                <w:szCs w:val="18"/>
              </w:rPr>
            </w:pPr>
            <w:r>
              <w:rPr>
                <w:rFonts w:hint="eastAsia"/>
                <w:sz w:val="18"/>
                <w:szCs w:val="18"/>
              </w:rPr>
              <w:t>基本支出</w:t>
            </w:r>
          </w:p>
        </w:tc>
        <w:tc>
          <w:tcPr>
            <w:tcW w:w="1405"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4169" w:type="dxa"/>
            <w:vMerge w:val="continue"/>
            <w:shd w:val="clear" w:color="auto" w:fill="auto"/>
            <w:vAlign w:val="center"/>
          </w:tcPr>
          <w:p>
            <w:pPr>
              <w:jc w:val="center"/>
              <w:rPr>
                <w:sz w:val="18"/>
                <w:szCs w:val="18"/>
              </w:rPr>
            </w:pPr>
          </w:p>
        </w:tc>
        <w:tc>
          <w:tcPr>
            <w:tcW w:w="1306" w:type="dxa"/>
            <w:vMerge w:val="continue"/>
            <w:shd w:val="clear" w:color="auto" w:fill="auto"/>
            <w:vAlign w:val="center"/>
          </w:tcPr>
          <w:p>
            <w:pPr>
              <w:jc w:val="center"/>
              <w:rPr>
                <w:sz w:val="18"/>
                <w:szCs w:val="18"/>
              </w:rPr>
            </w:pPr>
          </w:p>
        </w:tc>
        <w:tc>
          <w:tcPr>
            <w:tcW w:w="1306" w:type="dxa"/>
            <w:gridSpan w:val="2"/>
            <w:vMerge w:val="continue"/>
            <w:shd w:val="clear" w:color="auto" w:fill="auto"/>
            <w:vAlign w:val="center"/>
          </w:tcPr>
          <w:p>
            <w:pPr>
              <w:jc w:val="center"/>
              <w:rPr>
                <w:sz w:val="18"/>
                <w:szCs w:val="18"/>
              </w:rPr>
            </w:pPr>
          </w:p>
        </w:tc>
        <w:tc>
          <w:tcPr>
            <w:tcW w:w="1405"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14"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169" w:type="dxa"/>
            <w:shd w:val="clear" w:color="auto" w:fill="auto"/>
            <w:vAlign w:val="center"/>
          </w:tcPr>
          <w:p>
            <w:pPr>
              <w:jc w:val="center"/>
              <w:rPr>
                <w:sz w:val="18"/>
                <w:szCs w:val="18"/>
              </w:rPr>
            </w:pPr>
            <w:r>
              <w:rPr>
                <w:rFonts w:hint="eastAsia"/>
                <w:color w:val="000000"/>
                <w:sz w:val="18"/>
                <w:szCs w:val="18"/>
              </w:rPr>
              <w:t>※</w:t>
            </w:r>
          </w:p>
        </w:tc>
        <w:tc>
          <w:tcPr>
            <w:tcW w:w="1306" w:type="dxa"/>
            <w:shd w:val="clear" w:color="auto" w:fill="auto"/>
            <w:vAlign w:val="center"/>
          </w:tcPr>
          <w:p>
            <w:pPr>
              <w:jc w:val="center"/>
              <w:rPr>
                <w:sz w:val="18"/>
                <w:szCs w:val="18"/>
              </w:rPr>
            </w:pPr>
            <w:r>
              <w:rPr>
                <w:rFonts w:hint="eastAsia"/>
                <w:sz w:val="18"/>
                <w:szCs w:val="18"/>
              </w:rPr>
              <w:t>1</w:t>
            </w:r>
          </w:p>
        </w:tc>
        <w:tc>
          <w:tcPr>
            <w:tcW w:w="1306" w:type="dxa"/>
            <w:gridSpan w:val="2"/>
            <w:shd w:val="clear" w:color="auto" w:fill="auto"/>
            <w:vAlign w:val="center"/>
          </w:tcPr>
          <w:p>
            <w:pPr>
              <w:jc w:val="center"/>
              <w:rPr>
                <w:sz w:val="18"/>
                <w:szCs w:val="18"/>
              </w:rPr>
            </w:pPr>
            <w:r>
              <w:rPr>
                <w:rFonts w:hint="eastAsia"/>
                <w:sz w:val="18"/>
                <w:szCs w:val="18"/>
              </w:rPr>
              <w:t>2</w:t>
            </w:r>
          </w:p>
        </w:tc>
        <w:tc>
          <w:tcPr>
            <w:tcW w:w="1405"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总计</w:t>
            </w:r>
          </w:p>
        </w:tc>
        <w:tc>
          <w:tcPr>
            <w:tcW w:w="1306" w:type="dxa"/>
            <w:shd w:val="clear" w:color="auto" w:fill="auto"/>
            <w:vAlign w:val="center"/>
          </w:tcPr>
          <w:p>
            <w:pPr>
              <w:jc w:val="right"/>
              <w:rPr>
                <w:b/>
                <w:sz w:val="18"/>
                <w:szCs w:val="18"/>
              </w:rPr>
            </w:pPr>
            <w:r>
              <w:rPr>
                <w:rFonts w:hint="eastAsia" w:ascii="宋体" w:hAnsi="宋体"/>
                <w:b/>
                <w:color w:val="000000"/>
                <w:sz w:val="18"/>
                <w:szCs w:val="18"/>
              </w:rPr>
              <w:t>1,057.51</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770.51</w:t>
            </w:r>
          </w:p>
        </w:tc>
        <w:tc>
          <w:tcPr>
            <w:tcW w:w="1405" w:type="dxa"/>
            <w:shd w:val="clear" w:color="auto" w:fill="auto"/>
            <w:vAlign w:val="center"/>
          </w:tcPr>
          <w:p>
            <w:pPr>
              <w:jc w:val="right"/>
              <w:rPr>
                <w:b/>
                <w:sz w:val="18"/>
                <w:szCs w:val="18"/>
              </w:rPr>
            </w:pPr>
            <w:r>
              <w:rPr>
                <w:rFonts w:hint="eastAsia" w:ascii="宋体" w:hAnsi="宋体"/>
                <w:b/>
                <w:color w:val="000000"/>
                <w:sz w:val="18"/>
                <w:szCs w:val="18"/>
              </w:rPr>
              <w:t>287.00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201</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一般公共服务支出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851.76</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564.76</w:t>
            </w:r>
          </w:p>
        </w:tc>
        <w:tc>
          <w:tcPr>
            <w:tcW w:w="1405" w:type="dxa"/>
            <w:shd w:val="clear" w:color="auto" w:fill="auto"/>
            <w:vAlign w:val="center"/>
          </w:tcPr>
          <w:p>
            <w:pPr>
              <w:jc w:val="right"/>
              <w:rPr>
                <w:b/>
                <w:sz w:val="18"/>
                <w:szCs w:val="18"/>
              </w:rPr>
            </w:pPr>
            <w:r>
              <w:rPr>
                <w:rFonts w:hint="eastAsia" w:ascii="宋体" w:hAnsi="宋体"/>
                <w:b/>
                <w:color w:val="000000"/>
                <w:sz w:val="18"/>
                <w:szCs w:val="18"/>
              </w:rPr>
              <w:t>287.00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201</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03</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政府办公厅（室）及相关机构事务</w:t>
            </w:r>
          </w:p>
        </w:tc>
        <w:tc>
          <w:tcPr>
            <w:tcW w:w="1306" w:type="dxa"/>
            <w:shd w:val="clear" w:color="auto" w:fill="auto"/>
            <w:vAlign w:val="center"/>
          </w:tcPr>
          <w:p>
            <w:pPr>
              <w:jc w:val="right"/>
              <w:rPr>
                <w:b/>
                <w:sz w:val="18"/>
                <w:szCs w:val="18"/>
              </w:rPr>
            </w:pPr>
            <w:r>
              <w:rPr>
                <w:rFonts w:hint="eastAsia" w:ascii="宋体" w:hAnsi="宋体"/>
                <w:b/>
                <w:color w:val="000000"/>
                <w:sz w:val="18"/>
                <w:szCs w:val="18"/>
              </w:rPr>
              <w:t>851.76</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564.76</w:t>
            </w:r>
          </w:p>
        </w:tc>
        <w:tc>
          <w:tcPr>
            <w:tcW w:w="1405" w:type="dxa"/>
            <w:shd w:val="clear" w:color="auto" w:fill="auto"/>
            <w:vAlign w:val="center"/>
          </w:tcPr>
          <w:p>
            <w:pPr>
              <w:jc w:val="right"/>
              <w:rPr>
                <w:b/>
                <w:sz w:val="18"/>
                <w:szCs w:val="18"/>
              </w:rPr>
            </w:pPr>
            <w:r>
              <w:rPr>
                <w:rFonts w:hint="eastAsia" w:ascii="宋体" w:hAnsi="宋体"/>
                <w:b/>
                <w:color w:val="000000"/>
                <w:sz w:val="18"/>
                <w:szCs w:val="18"/>
              </w:rPr>
              <w:t>287.00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03</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03</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机关服务</w:t>
            </w:r>
          </w:p>
        </w:tc>
        <w:tc>
          <w:tcPr>
            <w:tcW w:w="1306" w:type="dxa"/>
            <w:shd w:val="clear" w:color="auto" w:fill="auto"/>
            <w:vAlign w:val="center"/>
          </w:tcPr>
          <w:p>
            <w:pPr>
              <w:jc w:val="right"/>
              <w:rPr>
                <w:sz w:val="18"/>
                <w:szCs w:val="18"/>
              </w:rPr>
            </w:pPr>
            <w:r>
              <w:rPr>
                <w:rFonts w:hint="eastAsia" w:ascii="宋体" w:hAnsi="宋体"/>
                <w:color w:val="000000"/>
                <w:sz w:val="18"/>
                <w:szCs w:val="18"/>
              </w:rPr>
              <w:t>851.76</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564.76</w:t>
            </w:r>
          </w:p>
        </w:tc>
        <w:tc>
          <w:tcPr>
            <w:tcW w:w="1405" w:type="dxa"/>
            <w:shd w:val="clear" w:color="auto" w:fill="auto"/>
            <w:vAlign w:val="center"/>
          </w:tcPr>
          <w:p>
            <w:pPr>
              <w:jc w:val="right"/>
              <w:rPr>
                <w:sz w:val="18"/>
                <w:szCs w:val="18"/>
              </w:rPr>
            </w:pPr>
            <w:r>
              <w:rPr>
                <w:rFonts w:hint="eastAsia" w:ascii="宋体" w:hAnsi="宋体"/>
                <w:color w:val="000000"/>
                <w:sz w:val="18"/>
                <w:szCs w:val="18"/>
              </w:rPr>
              <w:t>287.00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社会保障和就业支出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119.97</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119.97</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05</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行政事业单位养老支出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119.97</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119.97</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208</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事业单位离退休</w:t>
            </w:r>
          </w:p>
        </w:tc>
        <w:tc>
          <w:tcPr>
            <w:tcW w:w="1306" w:type="dxa"/>
            <w:shd w:val="clear" w:color="auto" w:fill="auto"/>
            <w:vAlign w:val="center"/>
          </w:tcPr>
          <w:p>
            <w:pPr>
              <w:jc w:val="right"/>
              <w:rPr>
                <w:sz w:val="18"/>
                <w:szCs w:val="18"/>
              </w:rPr>
            </w:pPr>
            <w:r>
              <w:rPr>
                <w:rFonts w:hint="eastAsia" w:ascii="宋体" w:hAnsi="宋体"/>
                <w:color w:val="000000"/>
                <w:sz w:val="18"/>
                <w:szCs w:val="18"/>
              </w:rPr>
              <w:t>22.78</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22.78</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208</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机关事业单位基本养老保险缴费支出</w:t>
            </w:r>
          </w:p>
        </w:tc>
        <w:tc>
          <w:tcPr>
            <w:tcW w:w="1306" w:type="dxa"/>
            <w:shd w:val="clear" w:color="auto" w:fill="auto"/>
            <w:vAlign w:val="center"/>
          </w:tcPr>
          <w:p>
            <w:pPr>
              <w:jc w:val="right"/>
              <w:rPr>
                <w:sz w:val="18"/>
                <w:szCs w:val="18"/>
              </w:rPr>
            </w:pPr>
            <w:r>
              <w:rPr>
                <w:rFonts w:hint="eastAsia" w:ascii="宋体" w:hAnsi="宋体"/>
                <w:color w:val="000000"/>
                <w:sz w:val="18"/>
                <w:szCs w:val="18"/>
              </w:rPr>
              <w:t>74.19</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74.19</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208</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06</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机关事业单位职业年金缴费支出</w:t>
            </w:r>
          </w:p>
        </w:tc>
        <w:tc>
          <w:tcPr>
            <w:tcW w:w="1306" w:type="dxa"/>
            <w:shd w:val="clear" w:color="auto" w:fill="auto"/>
            <w:vAlign w:val="center"/>
          </w:tcPr>
          <w:p>
            <w:pPr>
              <w:jc w:val="right"/>
              <w:rPr>
                <w:sz w:val="18"/>
                <w:szCs w:val="18"/>
              </w:rPr>
            </w:pPr>
            <w:r>
              <w:rPr>
                <w:rFonts w:hint="eastAsia" w:ascii="宋体" w:hAnsi="宋体"/>
                <w:color w:val="000000"/>
                <w:sz w:val="18"/>
                <w:szCs w:val="18"/>
              </w:rPr>
              <w:t>23.00</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23.00</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卫生健康支出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30.14</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30.14</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11</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行政事业单位医疗</w:t>
            </w:r>
          </w:p>
        </w:tc>
        <w:tc>
          <w:tcPr>
            <w:tcW w:w="1306" w:type="dxa"/>
            <w:shd w:val="clear" w:color="auto" w:fill="auto"/>
            <w:vAlign w:val="center"/>
          </w:tcPr>
          <w:p>
            <w:pPr>
              <w:jc w:val="right"/>
              <w:rPr>
                <w:b/>
                <w:sz w:val="18"/>
                <w:szCs w:val="18"/>
              </w:rPr>
            </w:pPr>
            <w:r>
              <w:rPr>
                <w:rFonts w:hint="eastAsia" w:ascii="宋体" w:hAnsi="宋体"/>
                <w:b/>
                <w:color w:val="000000"/>
                <w:sz w:val="18"/>
                <w:szCs w:val="18"/>
              </w:rPr>
              <w:t>30.14</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30.14</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11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事业单位医疗</w:t>
            </w:r>
          </w:p>
        </w:tc>
        <w:tc>
          <w:tcPr>
            <w:tcW w:w="1306" w:type="dxa"/>
            <w:shd w:val="clear" w:color="auto" w:fill="auto"/>
            <w:vAlign w:val="center"/>
          </w:tcPr>
          <w:p>
            <w:pPr>
              <w:jc w:val="right"/>
              <w:rPr>
                <w:sz w:val="18"/>
                <w:szCs w:val="18"/>
              </w:rPr>
            </w:pPr>
            <w:r>
              <w:rPr>
                <w:rFonts w:hint="eastAsia" w:ascii="宋体" w:hAnsi="宋体"/>
                <w:color w:val="000000"/>
                <w:sz w:val="18"/>
                <w:szCs w:val="18"/>
              </w:rPr>
              <w:t>30.14</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30.14</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住房保障支出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55.64</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55.64</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02</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住房改革支出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55.64</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55.64</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221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01</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住房公积金</w:t>
            </w:r>
          </w:p>
        </w:tc>
        <w:tc>
          <w:tcPr>
            <w:tcW w:w="1306" w:type="dxa"/>
            <w:shd w:val="clear" w:color="auto" w:fill="auto"/>
            <w:vAlign w:val="center"/>
          </w:tcPr>
          <w:p>
            <w:pPr>
              <w:jc w:val="right"/>
              <w:rPr>
                <w:sz w:val="18"/>
                <w:szCs w:val="18"/>
              </w:rPr>
            </w:pPr>
            <w:r>
              <w:rPr>
                <w:rFonts w:hint="eastAsia" w:ascii="宋体" w:hAnsi="宋体"/>
                <w:color w:val="000000"/>
                <w:sz w:val="18"/>
                <w:szCs w:val="18"/>
              </w:rPr>
              <w:t>55.64</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55.64</w:t>
            </w:r>
          </w:p>
        </w:tc>
        <w:tc>
          <w:tcPr>
            <w:tcW w:w="1405" w:type="dxa"/>
            <w:shd w:val="clear" w:color="auto" w:fill="auto"/>
            <w:vAlign w:val="center"/>
          </w:tcPr>
          <w:p>
            <w:pPr>
              <w:jc w:val="right"/>
              <w:rPr>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表4</w:t>
      </w:r>
    </w:p>
    <w:p>
      <w:pPr>
        <w:jc w:val="center"/>
        <w:rPr>
          <w:rFonts w:hint="default" w:ascii="仿宋" w:hAnsi="宋体" w:eastAsia="仿宋"/>
          <w:b/>
          <w:color w:val="000000"/>
          <w:sz w:val="28"/>
          <w:szCs w:val="28"/>
        </w:rPr>
      </w:pPr>
      <w:r>
        <w:rPr>
          <w:rFonts w:hint="eastAsia" w:ascii="仿宋" w:hAnsi="宋体" w:eastAsia="仿宋"/>
          <w:b/>
          <w:color w:val="000000"/>
          <w:sz w:val="28"/>
          <w:szCs w:val="28"/>
        </w:rPr>
        <w:t>财政拨款收支预算总体情况表</w:t>
      </w:r>
    </w:p>
    <w:tbl>
      <w:tblPr>
        <w:tblStyle w:val="8"/>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1982"/>
        <w:gridCol w:w="1117"/>
        <w:gridCol w:w="2434"/>
        <w:gridCol w:w="1117"/>
        <w:gridCol w:w="52"/>
        <w:gridCol w:w="1011"/>
        <w:gridCol w:w="108"/>
        <w:gridCol w:w="955"/>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6702" w:type="dxa"/>
            <w:gridSpan w:val="5"/>
            <w:tcBorders>
              <w:top w:val="nil"/>
              <w:left w:val="nil"/>
              <w:right w:val="nil"/>
            </w:tcBorders>
            <w:shd w:val="clear" w:color="auto" w:fill="auto"/>
            <w:vAlign w:val="center"/>
          </w:tcPr>
          <w:p>
            <w:pPr>
              <w:jc w:val="left"/>
              <w:rPr>
                <w:color w:val="000000"/>
                <w:sz w:val="18"/>
                <w:szCs w:val="18"/>
              </w:rPr>
            </w:pPr>
            <w:r>
              <w:rPr>
                <w:rFonts w:hint="eastAsia"/>
                <w:color w:val="000000"/>
                <w:sz w:val="18"/>
                <w:szCs w:val="18"/>
              </w:rPr>
              <w:t>编制部门：皮山县机关事务服务中心</w:t>
            </w:r>
          </w:p>
        </w:tc>
        <w:tc>
          <w:tcPr>
            <w:tcW w:w="1119" w:type="dxa"/>
            <w:gridSpan w:val="2"/>
            <w:tcBorders>
              <w:top w:val="nil"/>
              <w:left w:val="nil"/>
              <w:right w:val="nil"/>
            </w:tcBorders>
            <w:shd w:val="clear" w:color="auto" w:fill="auto"/>
          </w:tcPr>
          <w:p>
            <w:pPr>
              <w:jc w:val="right"/>
              <w:rPr>
                <w:color w:val="000000"/>
                <w:sz w:val="18"/>
                <w:szCs w:val="18"/>
              </w:rPr>
            </w:pPr>
          </w:p>
        </w:tc>
        <w:tc>
          <w:tcPr>
            <w:tcW w:w="2006" w:type="dxa"/>
            <w:gridSpan w:val="2"/>
            <w:tcBorders>
              <w:top w:val="nil"/>
              <w:left w:val="nil"/>
              <w:right w:val="nil"/>
            </w:tcBorders>
            <w:shd w:val="clear" w:color="auto" w:fill="auto"/>
            <w:vAlign w:val="center"/>
          </w:tcPr>
          <w:p>
            <w:pPr>
              <w:jc w:val="right"/>
              <w:rPr>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3099" w:type="dxa"/>
            <w:gridSpan w:val="2"/>
            <w:shd w:val="clear" w:color="auto" w:fill="auto"/>
            <w:vAlign w:val="center"/>
          </w:tcPr>
          <w:p>
            <w:pPr>
              <w:jc w:val="center"/>
              <w:rPr>
                <w:b/>
                <w:color w:val="000000"/>
                <w:sz w:val="18"/>
                <w:szCs w:val="18"/>
              </w:rPr>
            </w:pPr>
            <w:r>
              <w:rPr>
                <w:rFonts w:hint="eastAsia"/>
                <w:b/>
                <w:color w:val="000000"/>
                <w:sz w:val="18"/>
                <w:szCs w:val="18"/>
              </w:rPr>
              <w:t>财政拨款收入</w:t>
            </w:r>
          </w:p>
        </w:tc>
        <w:tc>
          <w:tcPr>
            <w:tcW w:w="6728" w:type="dxa"/>
            <w:gridSpan w:val="7"/>
            <w:shd w:val="clear" w:color="auto" w:fill="auto"/>
            <w:vAlign w:val="center"/>
          </w:tcPr>
          <w:p>
            <w:pPr>
              <w:jc w:val="center"/>
              <w:rPr>
                <w:b/>
                <w:color w:val="000000"/>
                <w:sz w:val="18"/>
                <w:szCs w:val="18"/>
              </w:rPr>
            </w:pPr>
            <w:r>
              <w:rPr>
                <w:rFonts w:hint="eastAsia"/>
                <w:b/>
                <w:color w:val="000000"/>
                <w:sz w:val="18"/>
                <w:szCs w:val="18"/>
              </w:rPr>
              <w:t>财政拨款支出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1982" w:type="dxa"/>
            <w:shd w:val="clear" w:color="auto" w:fill="auto"/>
            <w:vAlign w:val="center"/>
          </w:tcPr>
          <w:p>
            <w:pPr>
              <w:jc w:val="center"/>
              <w:rPr>
                <w:color w:val="000000"/>
                <w:sz w:val="18"/>
                <w:szCs w:val="18"/>
              </w:rPr>
            </w:pPr>
            <w:r>
              <w:rPr>
                <w:rFonts w:hint="eastAsia"/>
                <w:b/>
                <w:color w:val="000000"/>
                <w:sz w:val="18"/>
                <w:szCs w:val="18"/>
              </w:rPr>
              <w:t>项目</w:t>
            </w:r>
          </w:p>
        </w:tc>
        <w:tc>
          <w:tcPr>
            <w:tcW w:w="1117" w:type="dxa"/>
            <w:shd w:val="clear" w:color="auto" w:fill="auto"/>
            <w:vAlign w:val="center"/>
          </w:tcPr>
          <w:p>
            <w:pPr>
              <w:jc w:val="center"/>
              <w:rPr>
                <w:color w:val="000000"/>
                <w:sz w:val="18"/>
                <w:szCs w:val="18"/>
              </w:rPr>
            </w:pPr>
            <w:r>
              <w:rPr>
                <w:rFonts w:hint="eastAsia"/>
                <w:b/>
                <w:color w:val="000000"/>
                <w:sz w:val="18"/>
                <w:szCs w:val="18"/>
              </w:rPr>
              <w:t>合计</w:t>
            </w:r>
          </w:p>
        </w:tc>
        <w:tc>
          <w:tcPr>
            <w:tcW w:w="2434" w:type="dxa"/>
            <w:shd w:val="clear" w:color="auto" w:fill="auto"/>
            <w:vAlign w:val="center"/>
          </w:tcPr>
          <w:p>
            <w:pPr>
              <w:jc w:val="center"/>
              <w:rPr>
                <w:color w:val="000000"/>
                <w:sz w:val="18"/>
                <w:szCs w:val="18"/>
              </w:rPr>
            </w:pPr>
            <w:r>
              <w:rPr>
                <w:rFonts w:hint="eastAsia"/>
                <w:b/>
                <w:color w:val="000000"/>
                <w:sz w:val="18"/>
                <w:szCs w:val="18"/>
              </w:rPr>
              <w:t>功能分类</w:t>
            </w:r>
          </w:p>
        </w:tc>
        <w:tc>
          <w:tcPr>
            <w:tcW w:w="1117" w:type="dxa"/>
            <w:shd w:val="clear" w:color="auto" w:fill="auto"/>
            <w:vAlign w:val="center"/>
          </w:tcPr>
          <w:p>
            <w:pPr>
              <w:jc w:val="center"/>
              <w:rPr>
                <w:color w:val="000000"/>
                <w:sz w:val="18"/>
                <w:szCs w:val="18"/>
              </w:rPr>
            </w:pPr>
            <w:r>
              <w:rPr>
                <w:rFonts w:hint="eastAsia"/>
                <w:b/>
                <w:color w:val="000000"/>
                <w:sz w:val="18"/>
                <w:szCs w:val="18"/>
              </w:rPr>
              <w:t>合计</w:t>
            </w:r>
          </w:p>
        </w:tc>
        <w:tc>
          <w:tcPr>
            <w:tcW w:w="1063" w:type="dxa"/>
            <w:gridSpan w:val="2"/>
            <w:shd w:val="clear" w:color="auto" w:fill="auto"/>
            <w:vAlign w:val="center"/>
          </w:tcPr>
          <w:p>
            <w:pPr>
              <w:jc w:val="center"/>
              <w:rPr>
                <w:color w:val="000000"/>
                <w:sz w:val="18"/>
                <w:szCs w:val="18"/>
              </w:rPr>
            </w:pPr>
            <w:r>
              <w:rPr>
                <w:rFonts w:hint="eastAsia"/>
                <w:b/>
                <w:color w:val="000000"/>
                <w:sz w:val="18"/>
                <w:szCs w:val="18"/>
              </w:rPr>
              <w:t>一般公共预算</w:t>
            </w:r>
          </w:p>
        </w:tc>
        <w:tc>
          <w:tcPr>
            <w:tcW w:w="1063" w:type="dxa"/>
            <w:gridSpan w:val="2"/>
            <w:shd w:val="clear" w:color="auto" w:fill="auto"/>
            <w:vAlign w:val="center"/>
          </w:tcPr>
          <w:p>
            <w:pPr>
              <w:jc w:val="center"/>
              <w:rPr>
                <w:color w:val="000000"/>
                <w:sz w:val="18"/>
                <w:szCs w:val="18"/>
              </w:rPr>
            </w:pPr>
            <w:r>
              <w:rPr>
                <w:rFonts w:hint="eastAsia"/>
                <w:b/>
                <w:color w:val="000000"/>
                <w:sz w:val="18"/>
                <w:szCs w:val="18"/>
              </w:rPr>
              <w:t>政府性基金预算</w:t>
            </w:r>
          </w:p>
        </w:tc>
        <w:tc>
          <w:tcPr>
            <w:tcW w:w="1051" w:type="dxa"/>
            <w:shd w:val="clear" w:color="auto" w:fill="auto"/>
            <w:vAlign w:val="center"/>
          </w:tcPr>
          <w:p>
            <w:pPr>
              <w:jc w:val="center"/>
              <w:rPr>
                <w:color w:val="000000"/>
                <w:sz w:val="18"/>
                <w:szCs w:val="18"/>
              </w:rPr>
            </w:pPr>
            <w:r>
              <w:rPr>
                <w:rFonts w:hint="eastAsia"/>
                <w:b/>
                <w:color w:val="000000"/>
                <w:sz w:val="18"/>
                <w:szCs w:val="18"/>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r>
              <w:rPr>
                <w:rFonts w:hint="eastAsia"/>
                <w:b/>
                <w:color w:val="000000"/>
                <w:sz w:val="18"/>
                <w:szCs w:val="18"/>
              </w:rPr>
              <w:t>一、财政拨款（补助）</w:t>
            </w:r>
          </w:p>
        </w:tc>
        <w:tc>
          <w:tcPr>
            <w:tcW w:w="1117"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1,057.51</w:t>
            </w: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201 一般公共服务支出</w:t>
            </w:r>
          </w:p>
        </w:tc>
        <w:tc>
          <w:tcPr>
            <w:tcW w:w="1117"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851.76</w:t>
            </w:r>
          </w:p>
        </w:tc>
        <w:tc>
          <w:tcPr>
            <w:tcW w:w="1063" w:type="dxa"/>
            <w:gridSpan w:val="2"/>
            <w:shd w:val="clear" w:color="auto" w:fill="auto"/>
          </w:tcPr>
          <w:p>
            <w:pPr>
              <w:jc w:val="right"/>
              <w:rPr>
                <w:rFonts w:hint="default" w:ascii="宋体" w:hAnsi="宋体"/>
                <w:color w:val="000000"/>
                <w:sz w:val="18"/>
                <w:szCs w:val="18"/>
              </w:rPr>
            </w:pPr>
            <w:r>
              <w:rPr>
                <w:rFonts w:hint="eastAsia" w:ascii="宋体" w:hAnsi="宋体"/>
                <w:color w:val="000000"/>
                <w:sz w:val="18"/>
                <w:szCs w:val="18"/>
              </w:rPr>
              <w:t>851.76</w:t>
            </w:r>
          </w:p>
        </w:tc>
        <w:tc>
          <w:tcPr>
            <w:tcW w:w="1063" w:type="dxa"/>
            <w:gridSpan w:val="2"/>
            <w:shd w:val="clear" w:color="auto" w:fill="auto"/>
          </w:tcPr>
          <w:p>
            <w:pPr>
              <w:jc w:val="right"/>
              <w:rPr>
                <w:rFonts w:hint="default" w:ascii="宋体" w:hAnsi="宋体"/>
                <w:color w:val="000000"/>
                <w:sz w:val="18"/>
                <w:szCs w:val="18"/>
              </w:rPr>
            </w:pPr>
          </w:p>
        </w:tc>
        <w:tc>
          <w:tcPr>
            <w:tcW w:w="1051"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一般公共预算</w:t>
            </w:r>
          </w:p>
        </w:tc>
        <w:tc>
          <w:tcPr>
            <w:tcW w:w="1117"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1,057.51</w:t>
            </w: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202 外交支出</w:t>
            </w:r>
          </w:p>
        </w:tc>
        <w:tc>
          <w:tcPr>
            <w:tcW w:w="1117" w:type="dxa"/>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51"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政府性基金预算</w:t>
            </w:r>
          </w:p>
        </w:tc>
        <w:tc>
          <w:tcPr>
            <w:tcW w:w="1117" w:type="dxa"/>
            <w:shd w:val="clear" w:color="auto" w:fill="auto"/>
          </w:tcPr>
          <w:p>
            <w:pPr>
              <w:jc w:val="right"/>
              <w:rPr>
                <w:rFonts w:hint="default" w:ascii="宋体" w:hAnsi="宋体"/>
                <w:color w:val="000000"/>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203 国防支出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国有资本经营预算</w:t>
            </w:r>
          </w:p>
        </w:tc>
        <w:tc>
          <w:tcPr>
            <w:tcW w:w="1117" w:type="dxa"/>
            <w:shd w:val="clear" w:color="auto" w:fill="auto"/>
          </w:tcPr>
          <w:p>
            <w:pPr>
              <w:jc w:val="right"/>
              <w:rPr>
                <w:rFonts w:hint="default" w:ascii="宋体" w:hAnsi="宋体"/>
                <w:color w:val="000000"/>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204 公共安全支出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205 教育支出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206 科学技术支出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207 文化旅游体育与传媒支出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208 社会保障和就业支出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119.97</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119.97</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209 社会保险基金支出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210 卫生健康支出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30.14</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30.14</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211 节能环保支出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212 城乡社区支出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213 农林水支出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214 交通运输支出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215 资源勘探工业信息等支出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216 商业服务业等支出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217 金融支出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219 援助其他地区支出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220 自然资源海洋气象等支出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221 住房保障支出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55.64</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55.64</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222 粮油物资储备支出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223 国有资本经营预算支出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224 灾害防治及应急管理支出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227 预备费</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229 其他支出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230 转移性支出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231 债务还本支出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232 债务付息支出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233 债务发行费用支出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tcPr>
          <w:p>
            <w:pPr>
              <w:rPr>
                <w:rFonts w:hint="default" w:ascii="宋体" w:hAnsi="宋体" w:cs="宋体"/>
                <w:color w:val="000000"/>
                <w:sz w:val="18"/>
                <w:szCs w:val="18"/>
              </w:rPr>
            </w:pP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jc w:val="center"/>
              <w:rPr>
                <w:color w:val="000000"/>
                <w:sz w:val="18"/>
                <w:szCs w:val="18"/>
              </w:rPr>
            </w:pPr>
            <w:r>
              <w:rPr>
                <w:rFonts w:hint="eastAsia"/>
                <w:b/>
                <w:color w:val="000000"/>
                <w:sz w:val="18"/>
                <w:szCs w:val="18"/>
              </w:rPr>
              <w:t>收入总计</w:t>
            </w:r>
          </w:p>
        </w:tc>
        <w:tc>
          <w:tcPr>
            <w:tcW w:w="1117" w:type="dxa"/>
            <w:shd w:val="clear" w:color="auto" w:fill="auto"/>
          </w:tcPr>
          <w:p>
            <w:pPr>
              <w:jc w:val="right"/>
              <w:rPr>
                <w:sz w:val="18"/>
                <w:szCs w:val="18"/>
              </w:rPr>
            </w:pPr>
            <w:r>
              <w:rPr>
                <w:rFonts w:hint="eastAsia" w:ascii="宋体" w:hAnsi="宋体"/>
                <w:b/>
                <w:color w:val="000000"/>
                <w:sz w:val="18"/>
                <w:szCs w:val="18"/>
              </w:rPr>
              <w:t>1,057.51</w:t>
            </w:r>
          </w:p>
        </w:tc>
        <w:tc>
          <w:tcPr>
            <w:tcW w:w="2434" w:type="dxa"/>
            <w:shd w:val="clear" w:color="auto" w:fill="auto"/>
          </w:tcPr>
          <w:p>
            <w:pPr>
              <w:jc w:val="center"/>
              <w:rPr>
                <w:rFonts w:hint="default" w:ascii="宋体" w:hAnsi="宋体" w:cs="宋体"/>
                <w:color w:val="000000"/>
                <w:sz w:val="18"/>
                <w:szCs w:val="18"/>
              </w:rPr>
            </w:pPr>
            <w:r>
              <w:rPr>
                <w:rFonts w:hint="eastAsia"/>
                <w:b/>
                <w:color w:val="000000"/>
                <w:sz w:val="18"/>
                <w:szCs w:val="18"/>
              </w:rPr>
              <w:t>支出总计</w:t>
            </w:r>
          </w:p>
        </w:tc>
        <w:tc>
          <w:tcPr>
            <w:tcW w:w="1117" w:type="dxa"/>
            <w:shd w:val="clear" w:color="auto" w:fill="auto"/>
          </w:tcPr>
          <w:p>
            <w:pPr>
              <w:jc w:val="right"/>
              <w:rPr>
                <w:sz w:val="18"/>
                <w:szCs w:val="18"/>
              </w:rPr>
            </w:pPr>
            <w:r>
              <w:rPr>
                <w:rFonts w:hint="eastAsia" w:ascii="宋体" w:hAnsi="宋体"/>
                <w:b/>
                <w:color w:val="000000"/>
                <w:sz w:val="18"/>
                <w:szCs w:val="18"/>
              </w:rPr>
              <w:t>1,057.51</w:t>
            </w:r>
          </w:p>
        </w:tc>
        <w:tc>
          <w:tcPr>
            <w:tcW w:w="1063" w:type="dxa"/>
            <w:gridSpan w:val="2"/>
            <w:shd w:val="clear" w:color="auto" w:fill="auto"/>
          </w:tcPr>
          <w:p>
            <w:pPr>
              <w:jc w:val="right"/>
              <w:rPr>
                <w:sz w:val="18"/>
                <w:szCs w:val="18"/>
              </w:rPr>
            </w:pPr>
            <w:r>
              <w:rPr>
                <w:rFonts w:hint="eastAsia" w:ascii="宋体" w:hAnsi="宋体"/>
                <w:b/>
                <w:color w:val="000000"/>
                <w:sz w:val="18"/>
                <w:szCs w:val="18"/>
              </w:rPr>
              <w:t>1,057.51</w:t>
            </w:r>
          </w:p>
        </w:tc>
        <w:tc>
          <w:tcPr>
            <w:tcW w:w="1063" w:type="dxa"/>
            <w:gridSpan w:val="2"/>
            <w:shd w:val="clear" w:color="auto" w:fill="auto"/>
          </w:tcPr>
          <w:p>
            <w:pPr>
              <w:jc w:val="right"/>
              <w:rPr>
                <w:sz w:val="18"/>
                <w:szCs w:val="18"/>
              </w:rPr>
            </w:pPr>
          </w:p>
        </w:tc>
        <w:tc>
          <w:tcPr>
            <w:tcW w:w="1051" w:type="dxa"/>
            <w:shd w:val="clear" w:color="auto" w:fill="auto"/>
          </w:tcPr>
          <w:p>
            <w:pPr>
              <w:jc w:val="right"/>
              <w:rPr>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表5</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026"/>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8146" w:type="dxa"/>
            <w:gridSpan w:val="6"/>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编制部门：皮山县机关事务服务中心</w:t>
            </w:r>
          </w:p>
        </w:tc>
        <w:tc>
          <w:tcPr>
            <w:tcW w:w="170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5694" w:type="dxa"/>
            <w:gridSpan w:val="4"/>
            <w:shd w:val="clear" w:color="auto" w:fill="auto"/>
            <w:vAlign w:val="center"/>
          </w:tcPr>
          <w:p>
            <w:pPr>
              <w:jc w:val="center"/>
              <w:rPr>
                <w:sz w:val="18"/>
                <w:szCs w:val="18"/>
              </w:rPr>
            </w:pPr>
            <w:r>
              <w:rPr>
                <w:rFonts w:hint="eastAsia"/>
                <w:sz w:val="18"/>
                <w:szCs w:val="18"/>
              </w:rPr>
              <w:t>科目</w:t>
            </w:r>
          </w:p>
        </w:tc>
        <w:tc>
          <w:tcPr>
            <w:tcW w:w="4160" w:type="dxa"/>
            <w:gridSpan w:val="4"/>
            <w:shd w:val="clear" w:color="auto" w:fill="auto"/>
            <w:vAlign w:val="center"/>
          </w:tcPr>
          <w:p>
            <w:pPr>
              <w:jc w:val="center"/>
              <w:rPr>
                <w:sz w:val="18"/>
                <w:szCs w:val="18"/>
              </w:rPr>
            </w:pPr>
            <w:r>
              <w:rPr>
                <w:rFonts w:hint="eastAsia"/>
                <w:sz w:val="18"/>
                <w:szCs w:val="18"/>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4026" w:type="dxa"/>
            <w:vMerge w:val="restart"/>
            <w:shd w:val="clear" w:color="auto" w:fill="auto"/>
            <w:vAlign w:val="center"/>
          </w:tcPr>
          <w:p>
            <w:pPr>
              <w:jc w:val="center"/>
              <w:rPr>
                <w:sz w:val="18"/>
                <w:szCs w:val="18"/>
              </w:rPr>
            </w:pPr>
            <w:r>
              <w:rPr>
                <w:rFonts w:hint="eastAsia"/>
                <w:sz w:val="18"/>
                <w:szCs w:val="18"/>
              </w:rPr>
              <w:t>功能分类科目名称</w:t>
            </w:r>
          </w:p>
        </w:tc>
        <w:tc>
          <w:tcPr>
            <w:tcW w:w="1367" w:type="dxa"/>
            <w:vMerge w:val="restart"/>
            <w:shd w:val="clear" w:color="auto" w:fill="auto"/>
            <w:vAlign w:val="center"/>
          </w:tcPr>
          <w:p>
            <w:pPr>
              <w:jc w:val="center"/>
              <w:rPr>
                <w:sz w:val="18"/>
                <w:szCs w:val="18"/>
              </w:rPr>
            </w:pPr>
            <w:r>
              <w:rPr>
                <w:rFonts w:hint="eastAsia"/>
                <w:sz w:val="18"/>
                <w:szCs w:val="18"/>
              </w:rPr>
              <w:t>合计</w:t>
            </w:r>
          </w:p>
        </w:tc>
        <w:tc>
          <w:tcPr>
            <w:tcW w:w="1366" w:type="dxa"/>
            <w:gridSpan w:val="2"/>
            <w:vMerge w:val="restart"/>
            <w:shd w:val="clear" w:color="auto" w:fill="auto"/>
            <w:vAlign w:val="center"/>
          </w:tcPr>
          <w:p>
            <w:pPr>
              <w:jc w:val="center"/>
              <w:rPr>
                <w:sz w:val="18"/>
                <w:szCs w:val="18"/>
              </w:rPr>
            </w:pPr>
            <w:r>
              <w:rPr>
                <w:rFonts w:hint="eastAsia"/>
                <w:sz w:val="18"/>
                <w:szCs w:val="18"/>
              </w:rPr>
              <w:t>基本支出</w:t>
            </w:r>
          </w:p>
        </w:tc>
        <w:tc>
          <w:tcPr>
            <w:tcW w:w="142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7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4026" w:type="dxa"/>
            <w:vMerge w:val="continue"/>
            <w:shd w:val="clear" w:color="auto" w:fill="auto"/>
            <w:vAlign w:val="center"/>
          </w:tcPr>
          <w:p>
            <w:pPr>
              <w:jc w:val="center"/>
              <w:rPr>
                <w:sz w:val="18"/>
                <w:szCs w:val="18"/>
              </w:rPr>
            </w:pPr>
          </w:p>
        </w:tc>
        <w:tc>
          <w:tcPr>
            <w:tcW w:w="1367" w:type="dxa"/>
            <w:vMerge w:val="continue"/>
            <w:shd w:val="clear" w:color="auto" w:fill="auto"/>
            <w:vAlign w:val="center"/>
          </w:tcPr>
          <w:p>
            <w:pPr>
              <w:jc w:val="center"/>
              <w:rPr>
                <w:sz w:val="18"/>
                <w:szCs w:val="18"/>
              </w:rPr>
            </w:pPr>
          </w:p>
        </w:tc>
        <w:tc>
          <w:tcPr>
            <w:tcW w:w="1366" w:type="dxa"/>
            <w:gridSpan w:val="2"/>
            <w:vMerge w:val="continue"/>
            <w:shd w:val="clear" w:color="auto" w:fill="auto"/>
            <w:vAlign w:val="center"/>
          </w:tcPr>
          <w:p>
            <w:pPr>
              <w:jc w:val="center"/>
              <w:rPr>
                <w:sz w:val="18"/>
                <w:szCs w:val="18"/>
              </w:rPr>
            </w:pPr>
          </w:p>
        </w:tc>
        <w:tc>
          <w:tcPr>
            <w:tcW w:w="142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2"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026" w:type="dxa"/>
            <w:shd w:val="clear" w:color="auto" w:fill="auto"/>
            <w:vAlign w:val="center"/>
          </w:tcPr>
          <w:p>
            <w:pPr>
              <w:jc w:val="center"/>
              <w:rPr>
                <w:sz w:val="18"/>
                <w:szCs w:val="18"/>
              </w:rPr>
            </w:pPr>
            <w:r>
              <w:rPr>
                <w:rFonts w:hint="eastAsia"/>
                <w:color w:val="000000"/>
                <w:sz w:val="18"/>
                <w:szCs w:val="18"/>
              </w:rPr>
              <w:t>※</w:t>
            </w:r>
          </w:p>
        </w:tc>
        <w:tc>
          <w:tcPr>
            <w:tcW w:w="1367" w:type="dxa"/>
            <w:shd w:val="clear" w:color="auto" w:fill="auto"/>
            <w:vAlign w:val="center"/>
          </w:tcPr>
          <w:p>
            <w:pPr>
              <w:jc w:val="center"/>
              <w:rPr>
                <w:sz w:val="18"/>
                <w:szCs w:val="18"/>
              </w:rPr>
            </w:pPr>
            <w:r>
              <w:rPr>
                <w:rFonts w:hint="eastAsia"/>
                <w:sz w:val="18"/>
                <w:szCs w:val="18"/>
              </w:rPr>
              <w:t>1</w:t>
            </w:r>
          </w:p>
        </w:tc>
        <w:tc>
          <w:tcPr>
            <w:tcW w:w="1366" w:type="dxa"/>
            <w:gridSpan w:val="2"/>
            <w:shd w:val="clear" w:color="auto" w:fill="auto"/>
            <w:vAlign w:val="center"/>
          </w:tcPr>
          <w:p>
            <w:pPr>
              <w:jc w:val="center"/>
              <w:rPr>
                <w:sz w:val="18"/>
                <w:szCs w:val="18"/>
              </w:rPr>
            </w:pPr>
            <w:r>
              <w:rPr>
                <w:rFonts w:hint="eastAsia"/>
                <w:sz w:val="18"/>
                <w:szCs w:val="18"/>
              </w:rPr>
              <w:t>2</w:t>
            </w:r>
          </w:p>
        </w:tc>
        <w:tc>
          <w:tcPr>
            <w:tcW w:w="1427"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center"/>
              <w:rPr>
                <w:b/>
                <w:sz w:val="18"/>
                <w:szCs w:val="18"/>
              </w:rPr>
            </w:pPr>
            <w:r>
              <w:rPr>
                <w:rFonts w:hint="eastAsia" w:ascii="宋体" w:hAnsi="宋体"/>
                <w:b/>
                <w:color w:val="000000"/>
                <w:sz w:val="18"/>
                <w:szCs w:val="18"/>
              </w:rPr>
              <w:t>总计</w:t>
            </w:r>
          </w:p>
        </w:tc>
        <w:tc>
          <w:tcPr>
            <w:tcW w:w="1367" w:type="dxa"/>
            <w:shd w:val="clear" w:color="auto" w:fill="auto"/>
            <w:vAlign w:val="center"/>
          </w:tcPr>
          <w:p>
            <w:pPr>
              <w:jc w:val="right"/>
              <w:rPr>
                <w:b/>
                <w:sz w:val="18"/>
                <w:szCs w:val="18"/>
              </w:rPr>
            </w:pPr>
            <w:r>
              <w:rPr>
                <w:rFonts w:hint="eastAsia" w:ascii="宋体" w:hAnsi="宋体"/>
                <w:b/>
                <w:color w:val="000000"/>
                <w:sz w:val="18"/>
                <w:szCs w:val="18"/>
              </w:rPr>
              <w:t>1,057.51</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770.51</w:t>
            </w:r>
          </w:p>
        </w:tc>
        <w:tc>
          <w:tcPr>
            <w:tcW w:w="1427" w:type="dxa"/>
            <w:shd w:val="clear" w:color="auto" w:fill="auto"/>
            <w:vAlign w:val="center"/>
          </w:tcPr>
          <w:p>
            <w:pPr>
              <w:jc w:val="right"/>
              <w:rPr>
                <w:b/>
                <w:sz w:val="18"/>
                <w:szCs w:val="18"/>
              </w:rPr>
            </w:pPr>
            <w:r>
              <w:rPr>
                <w:rFonts w:hint="eastAsia" w:ascii="宋体" w:hAnsi="宋体"/>
                <w:b/>
                <w:color w:val="000000"/>
                <w:sz w:val="18"/>
                <w:szCs w:val="18"/>
              </w:rPr>
              <w:t>287.00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201</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一般公共服务支出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851.76</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564.76</w:t>
            </w:r>
          </w:p>
        </w:tc>
        <w:tc>
          <w:tcPr>
            <w:tcW w:w="1427" w:type="dxa"/>
            <w:shd w:val="clear" w:color="auto" w:fill="auto"/>
            <w:vAlign w:val="center"/>
          </w:tcPr>
          <w:p>
            <w:pPr>
              <w:jc w:val="right"/>
              <w:rPr>
                <w:b/>
                <w:sz w:val="18"/>
                <w:szCs w:val="18"/>
              </w:rPr>
            </w:pPr>
            <w:r>
              <w:rPr>
                <w:rFonts w:hint="eastAsia" w:ascii="宋体" w:hAnsi="宋体"/>
                <w:b/>
                <w:color w:val="000000"/>
                <w:sz w:val="18"/>
                <w:szCs w:val="18"/>
              </w:rPr>
              <w:t>287.00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201</w:t>
            </w:r>
          </w:p>
        </w:tc>
        <w:tc>
          <w:tcPr>
            <w:tcW w:w="567" w:type="dxa"/>
            <w:shd w:val="clear" w:color="auto" w:fill="auto"/>
            <w:vAlign w:val="center"/>
          </w:tcPr>
          <w:p>
            <w:pPr>
              <w:jc w:val="center"/>
              <w:rPr>
                <w:b/>
                <w:sz w:val="18"/>
                <w:szCs w:val="18"/>
              </w:rPr>
            </w:pPr>
            <w:r>
              <w:rPr>
                <w:rFonts w:hint="eastAsia" w:ascii="宋体" w:hAnsi="宋体"/>
                <w:b/>
                <w:color w:val="000000"/>
                <w:sz w:val="18"/>
                <w:szCs w:val="18"/>
              </w:rPr>
              <w:t>03</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政府办公厅（室）及相关机构事务</w:t>
            </w:r>
          </w:p>
        </w:tc>
        <w:tc>
          <w:tcPr>
            <w:tcW w:w="1367" w:type="dxa"/>
            <w:shd w:val="clear" w:color="auto" w:fill="auto"/>
            <w:vAlign w:val="center"/>
          </w:tcPr>
          <w:p>
            <w:pPr>
              <w:jc w:val="right"/>
              <w:rPr>
                <w:b/>
                <w:sz w:val="18"/>
                <w:szCs w:val="18"/>
              </w:rPr>
            </w:pPr>
            <w:r>
              <w:rPr>
                <w:rFonts w:hint="eastAsia" w:ascii="宋体" w:hAnsi="宋体"/>
                <w:b/>
                <w:color w:val="000000"/>
                <w:sz w:val="18"/>
                <w:szCs w:val="18"/>
              </w:rPr>
              <w:t>851.76</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564.76</w:t>
            </w:r>
          </w:p>
        </w:tc>
        <w:tc>
          <w:tcPr>
            <w:tcW w:w="1427" w:type="dxa"/>
            <w:shd w:val="clear" w:color="auto" w:fill="auto"/>
            <w:vAlign w:val="center"/>
          </w:tcPr>
          <w:p>
            <w:pPr>
              <w:jc w:val="right"/>
              <w:rPr>
                <w:b/>
                <w:sz w:val="18"/>
                <w:szCs w:val="18"/>
              </w:rPr>
            </w:pPr>
            <w:r>
              <w:rPr>
                <w:rFonts w:hint="eastAsia" w:ascii="宋体" w:hAnsi="宋体"/>
                <w:b/>
                <w:color w:val="000000"/>
                <w:sz w:val="18"/>
                <w:szCs w:val="18"/>
              </w:rPr>
              <w:t>287.00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201</w:t>
            </w:r>
          </w:p>
        </w:tc>
        <w:tc>
          <w:tcPr>
            <w:tcW w:w="567" w:type="dxa"/>
            <w:shd w:val="clear" w:color="auto" w:fill="auto"/>
            <w:vAlign w:val="center"/>
          </w:tcPr>
          <w:p>
            <w:pPr>
              <w:jc w:val="center"/>
              <w:rPr>
                <w:sz w:val="18"/>
                <w:szCs w:val="18"/>
              </w:rPr>
            </w:pPr>
            <w:r>
              <w:rPr>
                <w:rFonts w:hint="eastAsia" w:ascii="宋体" w:hAnsi="宋体"/>
                <w:color w:val="000000"/>
                <w:sz w:val="18"/>
                <w:szCs w:val="18"/>
              </w:rPr>
              <w:t>03</w:t>
            </w:r>
          </w:p>
        </w:tc>
        <w:tc>
          <w:tcPr>
            <w:tcW w:w="567" w:type="dxa"/>
            <w:shd w:val="clear" w:color="auto" w:fill="auto"/>
            <w:vAlign w:val="center"/>
          </w:tcPr>
          <w:p>
            <w:pPr>
              <w:jc w:val="center"/>
              <w:rPr>
                <w:sz w:val="18"/>
                <w:szCs w:val="18"/>
              </w:rPr>
            </w:pPr>
            <w:r>
              <w:rPr>
                <w:rFonts w:hint="eastAsia" w:ascii="宋体" w:hAnsi="宋体"/>
                <w:color w:val="000000"/>
                <w:sz w:val="18"/>
                <w:szCs w:val="18"/>
              </w:rPr>
              <w:t>03</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机关服务</w:t>
            </w:r>
          </w:p>
        </w:tc>
        <w:tc>
          <w:tcPr>
            <w:tcW w:w="1367" w:type="dxa"/>
            <w:shd w:val="clear" w:color="auto" w:fill="auto"/>
            <w:vAlign w:val="center"/>
          </w:tcPr>
          <w:p>
            <w:pPr>
              <w:jc w:val="right"/>
              <w:rPr>
                <w:sz w:val="18"/>
                <w:szCs w:val="18"/>
              </w:rPr>
            </w:pPr>
            <w:r>
              <w:rPr>
                <w:rFonts w:hint="eastAsia" w:ascii="宋体" w:hAnsi="宋体"/>
                <w:color w:val="000000"/>
                <w:sz w:val="18"/>
                <w:szCs w:val="18"/>
              </w:rPr>
              <w:t>851.76</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564.76</w:t>
            </w:r>
          </w:p>
        </w:tc>
        <w:tc>
          <w:tcPr>
            <w:tcW w:w="1427" w:type="dxa"/>
            <w:shd w:val="clear" w:color="auto" w:fill="auto"/>
            <w:vAlign w:val="center"/>
          </w:tcPr>
          <w:p>
            <w:pPr>
              <w:jc w:val="right"/>
              <w:rPr>
                <w:sz w:val="18"/>
                <w:szCs w:val="18"/>
              </w:rPr>
            </w:pPr>
            <w:r>
              <w:rPr>
                <w:rFonts w:hint="eastAsia" w:ascii="宋体" w:hAnsi="宋体"/>
                <w:color w:val="000000"/>
                <w:sz w:val="18"/>
                <w:szCs w:val="18"/>
              </w:rPr>
              <w:t>287.00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社会保障和就业支出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119.97</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119.97</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b/>
                <w:sz w:val="18"/>
                <w:szCs w:val="18"/>
              </w:rPr>
            </w:pPr>
            <w:r>
              <w:rPr>
                <w:rFonts w:hint="eastAsia" w:ascii="宋体" w:hAnsi="宋体"/>
                <w:b/>
                <w:color w:val="000000"/>
                <w:sz w:val="18"/>
                <w:szCs w:val="18"/>
              </w:rPr>
              <w:t>05</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行政事业单位养老支出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119.97</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119.97</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208</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事业单位离退休</w:t>
            </w:r>
          </w:p>
        </w:tc>
        <w:tc>
          <w:tcPr>
            <w:tcW w:w="1367" w:type="dxa"/>
            <w:shd w:val="clear" w:color="auto" w:fill="auto"/>
            <w:vAlign w:val="center"/>
          </w:tcPr>
          <w:p>
            <w:pPr>
              <w:jc w:val="right"/>
              <w:rPr>
                <w:sz w:val="18"/>
                <w:szCs w:val="18"/>
              </w:rPr>
            </w:pPr>
            <w:r>
              <w:rPr>
                <w:rFonts w:hint="eastAsia" w:ascii="宋体" w:hAnsi="宋体"/>
                <w:color w:val="000000"/>
                <w:sz w:val="18"/>
                <w:szCs w:val="18"/>
              </w:rPr>
              <w:t>22.78</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22.78</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208</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机关事业单位基本养老保险缴费支出</w:t>
            </w:r>
          </w:p>
        </w:tc>
        <w:tc>
          <w:tcPr>
            <w:tcW w:w="1367" w:type="dxa"/>
            <w:shd w:val="clear" w:color="auto" w:fill="auto"/>
            <w:vAlign w:val="center"/>
          </w:tcPr>
          <w:p>
            <w:pPr>
              <w:jc w:val="right"/>
              <w:rPr>
                <w:sz w:val="18"/>
                <w:szCs w:val="18"/>
              </w:rPr>
            </w:pPr>
            <w:r>
              <w:rPr>
                <w:rFonts w:hint="eastAsia" w:ascii="宋体" w:hAnsi="宋体"/>
                <w:color w:val="000000"/>
                <w:sz w:val="18"/>
                <w:szCs w:val="18"/>
              </w:rPr>
              <w:t>74.19</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74.19</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208</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567" w:type="dxa"/>
            <w:shd w:val="clear" w:color="auto" w:fill="auto"/>
            <w:vAlign w:val="center"/>
          </w:tcPr>
          <w:p>
            <w:pPr>
              <w:jc w:val="center"/>
              <w:rPr>
                <w:sz w:val="18"/>
                <w:szCs w:val="18"/>
              </w:rPr>
            </w:pPr>
            <w:r>
              <w:rPr>
                <w:rFonts w:hint="eastAsia" w:ascii="宋体" w:hAnsi="宋体"/>
                <w:color w:val="000000"/>
                <w:sz w:val="18"/>
                <w:szCs w:val="18"/>
              </w:rPr>
              <w:t>06</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机关事业单位职业年金缴费支出</w:t>
            </w:r>
          </w:p>
        </w:tc>
        <w:tc>
          <w:tcPr>
            <w:tcW w:w="1367" w:type="dxa"/>
            <w:shd w:val="clear" w:color="auto" w:fill="auto"/>
            <w:vAlign w:val="center"/>
          </w:tcPr>
          <w:p>
            <w:pPr>
              <w:jc w:val="right"/>
              <w:rPr>
                <w:sz w:val="18"/>
                <w:szCs w:val="18"/>
              </w:rPr>
            </w:pPr>
            <w:r>
              <w:rPr>
                <w:rFonts w:hint="eastAsia" w:ascii="宋体" w:hAnsi="宋体"/>
                <w:color w:val="000000"/>
                <w:sz w:val="18"/>
                <w:szCs w:val="18"/>
              </w:rPr>
              <w:t>23.00</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23.00</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卫生健康支出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30.14</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30.14</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b/>
                <w:sz w:val="18"/>
                <w:szCs w:val="18"/>
              </w:rPr>
            </w:pPr>
            <w:r>
              <w:rPr>
                <w:rFonts w:hint="eastAsia" w:ascii="宋体" w:hAnsi="宋体"/>
                <w:b/>
                <w:color w:val="000000"/>
                <w:sz w:val="18"/>
                <w:szCs w:val="18"/>
              </w:rPr>
              <w:t>11</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行政事业单位医疗</w:t>
            </w:r>
          </w:p>
        </w:tc>
        <w:tc>
          <w:tcPr>
            <w:tcW w:w="1367" w:type="dxa"/>
            <w:shd w:val="clear" w:color="auto" w:fill="auto"/>
            <w:vAlign w:val="center"/>
          </w:tcPr>
          <w:p>
            <w:pPr>
              <w:jc w:val="right"/>
              <w:rPr>
                <w:b/>
                <w:sz w:val="18"/>
                <w:szCs w:val="18"/>
              </w:rPr>
            </w:pPr>
            <w:r>
              <w:rPr>
                <w:rFonts w:hint="eastAsia" w:ascii="宋体" w:hAnsi="宋体"/>
                <w:b/>
                <w:color w:val="000000"/>
                <w:sz w:val="18"/>
                <w:szCs w:val="18"/>
              </w:rPr>
              <w:t>30.14</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30.14</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210</w:t>
            </w:r>
          </w:p>
        </w:tc>
        <w:tc>
          <w:tcPr>
            <w:tcW w:w="567" w:type="dxa"/>
            <w:shd w:val="clear" w:color="auto" w:fill="auto"/>
            <w:vAlign w:val="center"/>
          </w:tcPr>
          <w:p>
            <w:pPr>
              <w:jc w:val="center"/>
              <w:rPr>
                <w:sz w:val="18"/>
                <w:szCs w:val="18"/>
              </w:rPr>
            </w:pPr>
            <w:r>
              <w:rPr>
                <w:rFonts w:hint="eastAsia" w:ascii="宋体" w:hAnsi="宋体"/>
                <w:color w:val="000000"/>
                <w:sz w:val="18"/>
                <w:szCs w:val="18"/>
              </w:rPr>
              <w:t>11</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事业单位医疗</w:t>
            </w:r>
          </w:p>
        </w:tc>
        <w:tc>
          <w:tcPr>
            <w:tcW w:w="1367" w:type="dxa"/>
            <w:shd w:val="clear" w:color="auto" w:fill="auto"/>
            <w:vAlign w:val="center"/>
          </w:tcPr>
          <w:p>
            <w:pPr>
              <w:jc w:val="right"/>
              <w:rPr>
                <w:sz w:val="18"/>
                <w:szCs w:val="18"/>
              </w:rPr>
            </w:pPr>
            <w:r>
              <w:rPr>
                <w:rFonts w:hint="eastAsia" w:ascii="宋体" w:hAnsi="宋体"/>
                <w:color w:val="000000"/>
                <w:sz w:val="18"/>
                <w:szCs w:val="18"/>
              </w:rPr>
              <w:t>30.14</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30.14</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住房保障支出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55.64</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55.64</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b/>
                <w:sz w:val="18"/>
                <w:szCs w:val="18"/>
              </w:rPr>
            </w:pPr>
            <w:r>
              <w:rPr>
                <w:rFonts w:hint="eastAsia" w:ascii="宋体" w:hAnsi="宋体"/>
                <w:b/>
                <w:color w:val="000000"/>
                <w:sz w:val="18"/>
                <w:szCs w:val="18"/>
              </w:rPr>
              <w:t>02</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住房改革支出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55.64</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55.64</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221</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567" w:type="dxa"/>
            <w:shd w:val="clear" w:color="auto" w:fill="auto"/>
            <w:vAlign w:val="center"/>
          </w:tcPr>
          <w:p>
            <w:pPr>
              <w:jc w:val="center"/>
              <w:rPr>
                <w:sz w:val="18"/>
                <w:szCs w:val="18"/>
              </w:rPr>
            </w:pPr>
            <w:r>
              <w:rPr>
                <w:rFonts w:hint="eastAsia" w:ascii="宋体" w:hAnsi="宋体"/>
                <w:color w:val="000000"/>
                <w:sz w:val="18"/>
                <w:szCs w:val="18"/>
              </w:rPr>
              <w:t>01</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住房公积金</w:t>
            </w:r>
          </w:p>
        </w:tc>
        <w:tc>
          <w:tcPr>
            <w:tcW w:w="1367" w:type="dxa"/>
            <w:shd w:val="clear" w:color="auto" w:fill="auto"/>
            <w:vAlign w:val="center"/>
          </w:tcPr>
          <w:p>
            <w:pPr>
              <w:jc w:val="right"/>
              <w:rPr>
                <w:sz w:val="18"/>
                <w:szCs w:val="18"/>
              </w:rPr>
            </w:pPr>
            <w:r>
              <w:rPr>
                <w:rFonts w:hint="eastAsia" w:ascii="宋体" w:hAnsi="宋体"/>
                <w:color w:val="000000"/>
                <w:sz w:val="18"/>
                <w:szCs w:val="18"/>
              </w:rPr>
              <w:t>55.64</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55.64</w:t>
            </w:r>
          </w:p>
        </w:tc>
        <w:tc>
          <w:tcPr>
            <w:tcW w:w="1427" w:type="dxa"/>
            <w:shd w:val="clear" w:color="auto" w:fill="auto"/>
            <w:vAlign w:val="center"/>
          </w:tcPr>
          <w:p>
            <w:pPr>
              <w:jc w:val="right"/>
              <w:rPr>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表6</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一般公共预算基本支出情况表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4593"/>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146" w:type="dxa"/>
            <w:gridSpan w:val="5"/>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编制部门：皮山县机关事务服务中心</w:t>
            </w:r>
          </w:p>
        </w:tc>
        <w:tc>
          <w:tcPr>
            <w:tcW w:w="170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5694" w:type="dxa"/>
            <w:gridSpan w:val="3"/>
            <w:shd w:val="clear" w:color="auto" w:fill="auto"/>
            <w:vAlign w:val="center"/>
          </w:tcPr>
          <w:p>
            <w:pPr>
              <w:jc w:val="center"/>
              <w:rPr>
                <w:sz w:val="18"/>
                <w:szCs w:val="18"/>
              </w:rPr>
            </w:pPr>
            <w:r>
              <w:rPr>
                <w:rFonts w:hint="eastAsia"/>
                <w:sz w:val="18"/>
                <w:szCs w:val="18"/>
              </w:rPr>
              <w:t>科目</w:t>
            </w:r>
          </w:p>
        </w:tc>
        <w:tc>
          <w:tcPr>
            <w:tcW w:w="4160" w:type="dxa"/>
            <w:gridSpan w:val="4"/>
            <w:shd w:val="clear" w:color="auto" w:fill="auto"/>
            <w:vAlign w:val="center"/>
          </w:tcPr>
          <w:p>
            <w:pPr>
              <w:jc w:val="center"/>
              <w:rPr>
                <w:sz w:val="18"/>
                <w:szCs w:val="18"/>
              </w:rPr>
            </w:pPr>
            <w:r>
              <w:rPr>
                <w:rFonts w:hint="eastAsia"/>
                <w:sz w:val="18"/>
                <w:szCs w:val="18"/>
              </w:rPr>
              <w:t>一般公共预算基本支出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4" w:hRule="atLeast"/>
          <w:tblHeader/>
        </w:trPr>
        <w:tc>
          <w:tcPr>
            <w:tcW w:w="1101" w:type="dxa"/>
            <w:gridSpan w:val="2"/>
            <w:shd w:val="clear" w:color="auto" w:fill="auto"/>
            <w:vAlign w:val="center"/>
          </w:tcPr>
          <w:p>
            <w:pPr>
              <w:jc w:val="center"/>
              <w:rPr>
                <w:sz w:val="18"/>
                <w:szCs w:val="18"/>
              </w:rPr>
            </w:pPr>
            <w:r>
              <w:rPr>
                <w:rFonts w:hint="eastAsia"/>
                <w:sz w:val="18"/>
                <w:szCs w:val="18"/>
              </w:rPr>
              <w:t>经济分类科目编码</w:t>
            </w:r>
          </w:p>
        </w:tc>
        <w:tc>
          <w:tcPr>
            <w:tcW w:w="4593" w:type="dxa"/>
            <w:vMerge w:val="restart"/>
            <w:shd w:val="clear" w:color="auto" w:fill="auto"/>
            <w:vAlign w:val="center"/>
          </w:tcPr>
          <w:p>
            <w:pPr>
              <w:jc w:val="center"/>
              <w:rPr>
                <w:sz w:val="18"/>
                <w:szCs w:val="18"/>
              </w:rPr>
            </w:pPr>
            <w:r>
              <w:rPr>
                <w:rFonts w:hint="eastAsia"/>
                <w:sz w:val="18"/>
                <w:szCs w:val="18"/>
              </w:rPr>
              <w:t>经济分类科目名称</w:t>
            </w:r>
          </w:p>
        </w:tc>
        <w:tc>
          <w:tcPr>
            <w:tcW w:w="1367" w:type="dxa"/>
            <w:vMerge w:val="restart"/>
            <w:shd w:val="clear" w:color="auto" w:fill="auto"/>
            <w:vAlign w:val="center"/>
          </w:tcPr>
          <w:p>
            <w:pPr>
              <w:jc w:val="center"/>
              <w:rPr>
                <w:sz w:val="18"/>
                <w:szCs w:val="18"/>
              </w:rPr>
            </w:pPr>
            <w:r>
              <w:rPr>
                <w:rFonts w:hint="eastAsia"/>
                <w:sz w:val="18"/>
                <w:szCs w:val="18"/>
              </w:rPr>
              <w:t>合计</w:t>
            </w:r>
          </w:p>
        </w:tc>
        <w:tc>
          <w:tcPr>
            <w:tcW w:w="1366" w:type="dxa"/>
            <w:gridSpan w:val="2"/>
            <w:vMerge w:val="restart"/>
            <w:shd w:val="clear" w:color="auto" w:fill="auto"/>
            <w:vAlign w:val="center"/>
          </w:tcPr>
          <w:p>
            <w:pPr>
              <w:jc w:val="center"/>
              <w:rPr>
                <w:sz w:val="18"/>
                <w:szCs w:val="18"/>
              </w:rPr>
            </w:pPr>
            <w:r>
              <w:rPr>
                <w:rFonts w:hint="eastAsia"/>
                <w:sz w:val="18"/>
                <w:szCs w:val="18"/>
              </w:rPr>
              <w:t>人员经费</w:t>
            </w:r>
          </w:p>
        </w:tc>
        <w:tc>
          <w:tcPr>
            <w:tcW w:w="1427" w:type="dxa"/>
            <w:vMerge w:val="restart"/>
            <w:shd w:val="clear" w:color="auto" w:fill="auto"/>
            <w:vAlign w:val="center"/>
          </w:tcPr>
          <w:p>
            <w:pPr>
              <w:jc w:val="center"/>
              <w:rPr>
                <w:sz w:val="18"/>
                <w:szCs w:val="18"/>
              </w:rPr>
            </w:pPr>
            <w:r>
              <w:rPr>
                <w:rFonts w:hint="eastAsia"/>
                <w:sz w:val="18"/>
                <w:szCs w:val="18"/>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4593" w:type="dxa"/>
            <w:vMerge w:val="continue"/>
            <w:shd w:val="clear" w:color="auto" w:fill="auto"/>
            <w:vAlign w:val="center"/>
          </w:tcPr>
          <w:p>
            <w:pPr>
              <w:jc w:val="center"/>
              <w:rPr>
                <w:sz w:val="18"/>
                <w:szCs w:val="18"/>
              </w:rPr>
            </w:pPr>
          </w:p>
        </w:tc>
        <w:tc>
          <w:tcPr>
            <w:tcW w:w="1367" w:type="dxa"/>
            <w:vMerge w:val="continue"/>
            <w:shd w:val="clear" w:color="auto" w:fill="auto"/>
            <w:vAlign w:val="center"/>
          </w:tcPr>
          <w:p>
            <w:pPr>
              <w:jc w:val="center"/>
              <w:rPr>
                <w:sz w:val="18"/>
                <w:szCs w:val="18"/>
              </w:rPr>
            </w:pPr>
          </w:p>
        </w:tc>
        <w:tc>
          <w:tcPr>
            <w:tcW w:w="1366" w:type="dxa"/>
            <w:gridSpan w:val="2"/>
            <w:vMerge w:val="continue"/>
            <w:shd w:val="clear" w:color="auto" w:fill="auto"/>
            <w:vAlign w:val="center"/>
          </w:tcPr>
          <w:p>
            <w:pPr>
              <w:jc w:val="center"/>
              <w:rPr>
                <w:sz w:val="18"/>
                <w:szCs w:val="18"/>
              </w:rPr>
            </w:pPr>
          </w:p>
        </w:tc>
        <w:tc>
          <w:tcPr>
            <w:tcW w:w="142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5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593" w:type="dxa"/>
            <w:shd w:val="clear" w:color="auto" w:fill="auto"/>
            <w:vAlign w:val="center"/>
          </w:tcPr>
          <w:p>
            <w:pPr>
              <w:jc w:val="center"/>
              <w:rPr>
                <w:sz w:val="18"/>
                <w:szCs w:val="18"/>
              </w:rPr>
            </w:pPr>
            <w:r>
              <w:rPr>
                <w:rFonts w:hint="eastAsia"/>
                <w:color w:val="000000"/>
                <w:sz w:val="18"/>
                <w:szCs w:val="18"/>
              </w:rPr>
              <w:t>※</w:t>
            </w:r>
          </w:p>
        </w:tc>
        <w:tc>
          <w:tcPr>
            <w:tcW w:w="1367" w:type="dxa"/>
            <w:shd w:val="clear" w:color="auto" w:fill="auto"/>
            <w:vAlign w:val="center"/>
          </w:tcPr>
          <w:p>
            <w:pPr>
              <w:jc w:val="center"/>
              <w:rPr>
                <w:sz w:val="18"/>
                <w:szCs w:val="18"/>
              </w:rPr>
            </w:pPr>
            <w:r>
              <w:rPr>
                <w:rFonts w:hint="eastAsia"/>
                <w:sz w:val="18"/>
                <w:szCs w:val="18"/>
              </w:rPr>
              <w:t>1</w:t>
            </w:r>
          </w:p>
        </w:tc>
        <w:tc>
          <w:tcPr>
            <w:tcW w:w="1366" w:type="dxa"/>
            <w:gridSpan w:val="2"/>
            <w:shd w:val="clear" w:color="auto" w:fill="auto"/>
            <w:vAlign w:val="center"/>
          </w:tcPr>
          <w:p>
            <w:pPr>
              <w:jc w:val="center"/>
              <w:rPr>
                <w:sz w:val="18"/>
                <w:szCs w:val="18"/>
              </w:rPr>
            </w:pPr>
            <w:r>
              <w:rPr>
                <w:rFonts w:hint="eastAsia"/>
                <w:sz w:val="18"/>
                <w:szCs w:val="18"/>
              </w:rPr>
              <w:t>2</w:t>
            </w:r>
          </w:p>
        </w:tc>
        <w:tc>
          <w:tcPr>
            <w:tcW w:w="1427"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center"/>
              <w:rPr>
                <w:rFonts w:hint="default" w:ascii="宋体" w:hAnsi="宋体"/>
                <w:b/>
                <w:sz w:val="18"/>
                <w:szCs w:val="18"/>
              </w:rPr>
            </w:pPr>
            <w:r>
              <w:rPr>
                <w:rFonts w:hint="default" w:ascii="宋体" w:hAnsi="宋体"/>
                <w:b/>
                <w:sz w:val="18"/>
                <w:szCs w:val="18"/>
              </w:rPr>
              <w:t>总计</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770.51</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736.47</w:t>
            </w:r>
          </w:p>
        </w:tc>
        <w:tc>
          <w:tcPr>
            <w:tcW w:w="1427" w:type="dxa"/>
            <w:shd w:val="clear" w:color="auto" w:fill="auto"/>
            <w:vAlign w:val="center"/>
          </w:tcPr>
          <w:p>
            <w:pPr>
              <w:jc w:val="right"/>
              <w:rPr>
                <w:rFonts w:hint="default" w:ascii="宋体" w:hAnsi="宋体"/>
                <w:b/>
                <w:sz w:val="18"/>
                <w:szCs w:val="18"/>
              </w:rPr>
            </w:pPr>
            <w:r>
              <w:rPr>
                <w:rFonts w:hint="default" w:ascii="宋体" w:hAnsi="宋体"/>
                <w:b/>
                <w:sz w:val="18"/>
                <w:szCs w:val="18"/>
              </w:rPr>
              <w:t>34.04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301</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工资福利支出</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713.59</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713.59</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基本工资</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155.78</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155.78</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津贴补贴</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165.04</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165.04</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03</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奖金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102.16</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102.16</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07</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绩效工资</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105.09</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105.09</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08</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机关事业单位基本养老保险缴费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74.19</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74.19</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09</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职业年金缴费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23.00</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23.00</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10</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职工基本医疗保险缴费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30.14</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30.14</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其他社会保障缴费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2.54</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2.54</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13</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住房公积金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55.64</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55.64</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302</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商品和服务支出</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34.04</w:t>
            </w:r>
          </w:p>
        </w:tc>
        <w:tc>
          <w:tcPr>
            <w:tcW w:w="1366" w:type="dxa"/>
            <w:gridSpan w:val="2"/>
            <w:shd w:val="clear" w:color="auto" w:fill="auto"/>
            <w:vAlign w:val="center"/>
          </w:tcPr>
          <w:p>
            <w:pPr>
              <w:jc w:val="right"/>
              <w:rPr>
                <w:rFonts w:hint="default" w:ascii="宋体" w:hAnsi="宋体"/>
                <w:b/>
                <w:sz w:val="18"/>
                <w:szCs w:val="18"/>
              </w:rPr>
            </w:pPr>
          </w:p>
        </w:tc>
        <w:tc>
          <w:tcPr>
            <w:tcW w:w="1427" w:type="dxa"/>
            <w:shd w:val="clear" w:color="auto" w:fill="auto"/>
            <w:vAlign w:val="center"/>
          </w:tcPr>
          <w:p>
            <w:pPr>
              <w:jc w:val="right"/>
              <w:rPr>
                <w:rFonts w:hint="default" w:ascii="宋体" w:hAnsi="宋体"/>
                <w:b/>
                <w:sz w:val="18"/>
                <w:szCs w:val="18"/>
              </w:rPr>
            </w:pPr>
            <w:r>
              <w:rPr>
                <w:rFonts w:hint="default" w:ascii="宋体" w:hAnsi="宋体"/>
                <w:b/>
                <w:sz w:val="18"/>
                <w:szCs w:val="18"/>
              </w:rPr>
              <w:t>34.04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302</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办公费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1.15</w:t>
            </w:r>
          </w:p>
        </w:tc>
        <w:tc>
          <w:tcPr>
            <w:tcW w:w="1366" w:type="dxa"/>
            <w:gridSpan w:val="2"/>
            <w:shd w:val="clear" w:color="auto" w:fill="auto"/>
            <w:vAlign w:val="center"/>
          </w:tcPr>
          <w:p>
            <w:pPr>
              <w:jc w:val="right"/>
              <w:rPr>
                <w:rFonts w:hint="default" w:ascii="宋体" w:hAnsi="宋体"/>
                <w:sz w:val="18"/>
                <w:szCs w:val="18"/>
              </w:rPr>
            </w:pPr>
          </w:p>
        </w:tc>
        <w:tc>
          <w:tcPr>
            <w:tcW w:w="1427" w:type="dxa"/>
            <w:shd w:val="clear" w:color="auto" w:fill="auto"/>
            <w:vAlign w:val="center"/>
          </w:tcPr>
          <w:p>
            <w:pPr>
              <w:jc w:val="right"/>
              <w:rPr>
                <w:rFonts w:hint="default" w:ascii="宋体" w:hAnsi="宋体"/>
                <w:sz w:val="18"/>
                <w:szCs w:val="18"/>
              </w:rPr>
            </w:pPr>
            <w:r>
              <w:rPr>
                <w:rFonts w:hint="default" w:ascii="宋体" w:hAnsi="宋体"/>
                <w:sz w:val="18"/>
                <w:szCs w:val="18"/>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302</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06</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电费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2.20</w:t>
            </w:r>
          </w:p>
        </w:tc>
        <w:tc>
          <w:tcPr>
            <w:tcW w:w="1366" w:type="dxa"/>
            <w:gridSpan w:val="2"/>
            <w:shd w:val="clear" w:color="auto" w:fill="auto"/>
            <w:vAlign w:val="center"/>
          </w:tcPr>
          <w:p>
            <w:pPr>
              <w:jc w:val="right"/>
              <w:rPr>
                <w:rFonts w:hint="default" w:ascii="宋体" w:hAnsi="宋体"/>
                <w:sz w:val="18"/>
                <w:szCs w:val="18"/>
              </w:rPr>
            </w:pPr>
          </w:p>
        </w:tc>
        <w:tc>
          <w:tcPr>
            <w:tcW w:w="1427" w:type="dxa"/>
            <w:shd w:val="clear" w:color="auto" w:fill="auto"/>
            <w:vAlign w:val="center"/>
          </w:tcPr>
          <w:p>
            <w:pPr>
              <w:jc w:val="right"/>
              <w:rPr>
                <w:rFonts w:hint="default" w:ascii="宋体" w:hAnsi="宋体"/>
                <w:sz w:val="18"/>
                <w:szCs w:val="18"/>
              </w:rPr>
            </w:pPr>
            <w:r>
              <w:rPr>
                <w:rFonts w:hint="default" w:ascii="宋体" w:hAnsi="宋体"/>
                <w:sz w:val="18"/>
                <w:szCs w:val="18"/>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302</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08</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取暖费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0.84</w:t>
            </w:r>
          </w:p>
        </w:tc>
        <w:tc>
          <w:tcPr>
            <w:tcW w:w="1366" w:type="dxa"/>
            <w:gridSpan w:val="2"/>
            <w:shd w:val="clear" w:color="auto" w:fill="auto"/>
            <w:vAlign w:val="center"/>
          </w:tcPr>
          <w:p>
            <w:pPr>
              <w:jc w:val="right"/>
              <w:rPr>
                <w:rFonts w:hint="default" w:ascii="宋体" w:hAnsi="宋体"/>
                <w:sz w:val="18"/>
                <w:szCs w:val="18"/>
              </w:rPr>
            </w:pPr>
          </w:p>
        </w:tc>
        <w:tc>
          <w:tcPr>
            <w:tcW w:w="1427" w:type="dxa"/>
            <w:shd w:val="clear" w:color="auto" w:fill="auto"/>
            <w:vAlign w:val="center"/>
          </w:tcPr>
          <w:p>
            <w:pPr>
              <w:jc w:val="right"/>
              <w:rPr>
                <w:rFonts w:hint="default" w:ascii="宋体" w:hAnsi="宋体"/>
                <w:sz w:val="18"/>
                <w:szCs w:val="18"/>
              </w:rPr>
            </w:pPr>
            <w:r>
              <w:rPr>
                <w:rFonts w:hint="default" w:ascii="宋体" w:hAnsi="宋体"/>
                <w:sz w:val="18"/>
                <w:szCs w:val="18"/>
              </w:rPr>
              <w:t>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302</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差旅费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2.00</w:t>
            </w:r>
          </w:p>
        </w:tc>
        <w:tc>
          <w:tcPr>
            <w:tcW w:w="1366" w:type="dxa"/>
            <w:gridSpan w:val="2"/>
            <w:shd w:val="clear" w:color="auto" w:fill="auto"/>
            <w:vAlign w:val="center"/>
          </w:tcPr>
          <w:p>
            <w:pPr>
              <w:jc w:val="right"/>
              <w:rPr>
                <w:rFonts w:hint="default" w:ascii="宋体" w:hAnsi="宋体"/>
                <w:sz w:val="18"/>
                <w:szCs w:val="18"/>
              </w:rPr>
            </w:pPr>
          </w:p>
        </w:tc>
        <w:tc>
          <w:tcPr>
            <w:tcW w:w="1427" w:type="dxa"/>
            <w:shd w:val="clear" w:color="auto" w:fill="auto"/>
            <w:vAlign w:val="center"/>
          </w:tcPr>
          <w:p>
            <w:pPr>
              <w:jc w:val="right"/>
              <w:rPr>
                <w:rFonts w:hint="default" w:ascii="宋体" w:hAnsi="宋体"/>
                <w:sz w:val="18"/>
                <w:szCs w:val="18"/>
              </w:rPr>
            </w:pPr>
            <w:r>
              <w:rPr>
                <w:rFonts w:hint="default" w:ascii="宋体" w:hAnsi="宋体"/>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302</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31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公务用车运行维护费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18.00</w:t>
            </w:r>
          </w:p>
        </w:tc>
        <w:tc>
          <w:tcPr>
            <w:tcW w:w="1366" w:type="dxa"/>
            <w:gridSpan w:val="2"/>
            <w:shd w:val="clear" w:color="auto" w:fill="auto"/>
            <w:vAlign w:val="center"/>
          </w:tcPr>
          <w:p>
            <w:pPr>
              <w:jc w:val="right"/>
              <w:rPr>
                <w:rFonts w:hint="default" w:ascii="宋体" w:hAnsi="宋体"/>
                <w:sz w:val="18"/>
                <w:szCs w:val="18"/>
              </w:rPr>
            </w:pPr>
          </w:p>
        </w:tc>
        <w:tc>
          <w:tcPr>
            <w:tcW w:w="1427" w:type="dxa"/>
            <w:shd w:val="clear" w:color="auto" w:fill="auto"/>
            <w:vAlign w:val="center"/>
          </w:tcPr>
          <w:p>
            <w:pPr>
              <w:jc w:val="right"/>
              <w:rPr>
                <w:rFonts w:hint="default" w:ascii="宋体" w:hAnsi="宋体"/>
                <w:sz w:val="18"/>
                <w:szCs w:val="18"/>
              </w:rPr>
            </w:pPr>
            <w:r>
              <w:rPr>
                <w:rFonts w:hint="default" w:ascii="宋体" w:hAnsi="宋体"/>
                <w:sz w:val="18"/>
                <w:szCs w:val="18"/>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302</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99</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其他商品和服务支出</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9.85</w:t>
            </w:r>
          </w:p>
        </w:tc>
        <w:tc>
          <w:tcPr>
            <w:tcW w:w="1366" w:type="dxa"/>
            <w:gridSpan w:val="2"/>
            <w:shd w:val="clear" w:color="auto" w:fill="auto"/>
            <w:vAlign w:val="center"/>
          </w:tcPr>
          <w:p>
            <w:pPr>
              <w:jc w:val="right"/>
              <w:rPr>
                <w:rFonts w:hint="default" w:ascii="宋体" w:hAnsi="宋体"/>
                <w:sz w:val="18"/>
                <w:szCs w:val="18"/>
              </w:rPr>
            </w:pPr>
          </w:p>
        </w:tc>
        <w:tc>
          <w:tcPr>
            <w:tcW w:w="1427" w:type="dxa"/>
            <w:shd w:val="clear" w:color="auto" w:fill="auto"/>
            <w:vAlign w:val="center"/>
          </w:tcPr>
          <w:p>
            <w:pPr>
              <w:jc w:val="right"/>
              <w:rPr>
                <w:rFonts w:hint="default" w:ascii="宋体" w:hAnsi="宋体"/>
                <w:sz w:val="18"/>
                <w:szCs w:val="18"/>
              </w:rPr>
            </w:pPr>
            <w:r>
              <w:rPr>
                <w:rFonts w:hint="default" w:ascii="宋体" w:hAnsi="宋体"/>
                <w:sz w:val="18"/>
                <w:szCs w:val="18"/>
              </w:rPr>
              <w:t>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303</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对个人和家庭的补助</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22.88</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22.88</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303</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退休费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22.78</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22.78</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303</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09</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奖励金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0.10</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0.10</w:t>
            </w:r>
          </w:p>
        </w:tc>
        <w:tc>
          <w:tcPr>
            <w:tcW w:w="1427" w:type="dxa"/>
            <w:shd w:val="clear" w:color="auto" w:fill="auto"/>
            <w:vAlign w:val="center"/>
          </w:tcPr>
          <w:p>
            <w:pPr>
              <w:jc w:val="right"/>
              <w:rPr>
                <w:rFonts w:hint="default" w:ascii="宋体" w:hAnsi="宋体"/>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表7</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一般公共预算项目支出情况表</w:t>
      </w:r>
    </w:p>
    <w:tbl>
      <w:tblPr>
        <w:tblStyle w:val="8"/>
        <w:tblW w:w="14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00"/>
        <w:gridCol w:w="260"/>
        <w:gridCol w:w="331"/>
        <w:gridCol w:w="2073"/>
        <w:gridCol w:w="2073"/>
        <w:gridCol w:w="881"/>
        <w:gridCol w:w="881"/>
        <w:gridCol w:w="881"/>
        <w:gridCol w:w="881"/>
        <w:gridCol w:w="881"/>
        <w:gridCol w:w="881"/>
        <w:gridCol w:w="881"/>
        <w:gridCol w:w="882"/>
        <w:gridCol w:w="783"/>
        <w:gridCol w:w="9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2869" w:type="dxa"/>
            <w:gridSpan w:val="14"/>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编制部门：皮山县机关事务服务中心</w:t>
            </w:r>
          </w:p>
        </w:tc>
        <w:tc>
          <w:tcPr>
            <w:tcW w:w="1863"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711" w:hRule="atLeast"/>
          <w:tblHeader/>
        </w:trPr>
        <w:tc>
          <w:tcPr>
            <w:tcW w:w="891" w:type="dxa"/>
            <w:gridSpan w:val="3"/>
            <w:shd w:val="clear" w:color="auto" w:fill="auto"/>
            <w:vAlign w:val="center"/>
          </w:tcPr>
          <w:p>
            <w:pPr>
              <w:jc w:val="center"/>
              <w:rPr>
                <w:sz w:val="18"/>
                <w:szCs w:val="18"/>
              </w:rPr>
            </w:pPr>
            <w:r>
              <w:rPr>
                <w:rFonts w:hint="eastAsia"/>
                <w:sz w:val="18"/>
                <w:szCs w:val="18"/>
              </w:rPr>
              <w:t>科目编码</w:t>
            </w:r>
          </w:p>
        </w:tc>
        <w:tc>
          <w:tcPr>
            <w:tcW w:w="2073" w:type="dxa"/>
            <w:vMerge w:val="restart"/>
            <w:shd w:val="clear" w:color="auto" w:fill="auto"/>
            <w:vAlign w:val="center"/>
          </w:tcPr>
          <w:p>
            <w:pPr>
              <w:jc w:val="center"/>
              <w:rPr>
                <w:sz w:val="18"/>
                <w:szCs w:val="18"/>
              </w:rPr>
            </w:pPr>
            <w:r>
              <w:rPr>
                <w:rFonts w:hint="eastAsia"/>
                <w:sz w:val="18"/>
                <w:szCs w:val="18"/>
              </w:rPr>
              <w:t>功能分类科目名称</w:t>
            </w:r>
          </w:p>
        </w:tc>
        <w:tc>
          <w:tcPr>
            <w:tcW w:w="2073" w:type="dxa"/>
            <w:vMerge w:val="restart"/>
            <w:shd w:val="clear" w:color="auto" w:fill="auto"/>
            <w:vAlign w:val="center"/>
          </w:tcPr>
          <w:p>
            <w:pPr>
              <w:jc w:val="center"/>
              <w:rPr>
                <w:sz w:val="18"/>
                <w:szCs w:val="18"/>
              </w:rPr>
            </w:pPr>
            <w:r>
              <w:rPr>
                <w:rFonts w:hint="eastAsia"/>
                <w:sz w:val="18"/>
                <w:szCs w:val="18"/>
              </w:rPr>
              <w:t>项目名称</w:t>
            </w:r>
          </w:p>
        </w:tc>
        <w:tc>
          <w:tcPr>
            <w:tcW w:w="881" w:type="dxa"/>
            <w:vMerge w:val="restart"/>
            <w:shd w:val="clear" w:color="auto" w:fill="auto"/>
            <w:vAlign w:val="center"/>
          </w:tcPr>
          <w:p>
            <w:pPr>
              <w:jc w:val="center"/>
              <w:rPr>
                <w:sz w:val="18"/>
                <w:szCs w:val="18"/>
              </w:rPr>
            </w:pPr>
            <w:r>
              <w:rPr>
                <w:rFonts w:hint="eastAsia"/>
                <w:sz w:val="18"/>
                <w:szCs w:val="18"/>
              </w:rPr>
              <w:t>项目支出合计</w:t>
            </w:r>
          </w:p>
        </w:tc>
        <w:tc>
          <w:tcPr>
            <w:tcW w:w="881" w:type="dxa"/>
            <w:vMerge w:val="restart"/>
            <w:shd w:val="clear" w:color="auto" w:fill="auto"/>
            <w:vAlign w:val="center"/>
          </w:tcPr>
          <w:p>
            <w:pPr>
              <w:jc w:val="center"/>
              <w:rPr>
                <w:sz w:val="18"/>
                <w:szCs w:val="18"/>
              </w:rPr>
            </w:pPr>
            <w:r>
              <w:rPr>
                <w:rFonts w:hint="eastAsia"/>
                <w:sz w:val="18"/>
                <w:szCs w:val="18"/>
              </w:rPr>
              <w:t>工资福利支出</w:t>
            </w:r>
          </w:p>
        </w:tc>
        <w:tc>
          <w:tcPr>
            <w:tcW w:w="881" w:type="dxa"/>
            <w:vMerge w:val="restart"/>
            <w:shd w:val="clear" w:color="auto" w:fill="auto"/>
            <w:vAlign w:val="center"/>
          </w:tcPr>
          <w:p>
            <w:pPr>
              <w:jc w:val="center"/>
              <w:rPr>
                <w:sz w:val="18"/>
                <w:szCs w:val="18"/>
              </w:rPr>
            </w:pPr>
            <w:r>
              <w:rPr>
                <w:rFonts w:hint="eastAsia"/>
                <w:sz w:val="18"/>
                <w:szCs w:val="18"/>
              </w:rPr>
              <w:t>商品和服务支出</w:t>
            </w:r>
          </w:p>
        </w:tc>
        <w:tc>
          <w:tcPr>
            <w:tcW w:w="881" w:type="dxa"/>
            <w:vMerge w:val="restart"/>
            <w:shd w:val="clear" w:color="auto" w:fill="auto"/>
            <w:vAlign w:val="center"/>
          </w:tcPr>
          <w:p>
            <w:pPr>
              <w:jc w:val="center"/>
              <w:rPr>
                <w:sz w:val="18"/>
                <w:szCs w:val="18"/>
              </w:rPr>
            </w:pPr>
            <w:r>
              <w:rPr>
                <w:rFonts w:hint="eastAsia"/>
                <w:sz w:val="18"/>
                <w:szCs w:val="18"/>
              </w:rPr>
              <w:t>对个人和家庭的补助</w:t>
            </w:r>
          </w:p>
        </w:tc>
        <w:tc>
          <w:tcPr>
            <w:tcW w:w="881" w:type="dxa"/>
            <w:vMerge w:val="restart"/>
            <w:shd w:val="clear" w:color="auto" w:fill="auto"/>
            <w:vAlign w:val="center"/>
          </w:tcPr>
          <w:p>
            <w:pPr>
              <w:jc w:val="center"/>
              <w:rPr>
                <w:sz w:val="18"/>
                <w:szCs w:val="18"/>
              </w:rPr>
            </w:pPr>
            <w:r>
              <w:rPr>
                <w:rFonts w:hint="eastAsia"/>
                <w:sz w:val="18"/>
                <w:szCs w:val="18"/>
              </w:rPr>
              <w:t>债务利息及费用支出</w:t>
            </w:r>
          </w:p>
        </w:tc>
        <w:tc>
          <w:tcPr>
            <w:tcW w:w="881" w:type="dxa"/>
            <w:vMerge w:val="restart"/>
            <w:shd w:val="clear" w:color="auto" w:fill="auto"/>
            <w:vAlign w:val="center"/>
          </w:tcPr>
          <w:p>
            <w:pPr>
              <w:jc w:val="center"/>
              <w:rPr>
                <w:sz w:val="18"/>
                <w:szCs w:val="18"/>
              </w:rPr>
            </w:pPr>
            <w:r>
              <w:rPr>
                <w:rFonts w:hint="eastAsia"/>
                <w:sz w:val="18"/>
                <w:szCs w:val="18"/>
              </w:rPr>
              <w:t>资本性支出（基本建设）</w:t>
            </w:r>
          </w:p>
        </w:tc>
        <w:tc>
          <w:tcPr>
            <w:tcW w:w="881" w:type="dxa"/>
            <w:vMerge w:val="restart"/>
            <w:shd w:val="clear" w:color="auto" w:fill="auto"/>
            <w:vAlign w:val="center"/>
          </w:tcPr>
          <w:p>
            <w:pPr>
              <w:jc w:val="center"/>
              <w:rPr>
                <w:sz w:val="18"/>
                <w:szCs w:val="18"/>
              </w:rPr>
            </w:pPr>
            <w:r>
              <w:rPr>
                <w:rFonts w:hint="eastAsia"/>
                <w:sz w:val="18"/>
                <w:szCs w:val="18"/>
              </w:rPr>
              <w:t>资本性支出</w:t>
            </w:r>
          </w:p>
        </w:tc>
        <w:tc>
          <w:tcPr>
            <w:tcW w:w="882" w:type="dxa"/>
            <w:vMerge w:val="restart"/>
            <w:shd w:val="clear" w:color="auto" w:fill="auto"/>
            <w:vAlign w:val="center"/>
          </w:tcPr>
          <w:p>
            <w:pPr>
              <w:jc w:val="center"/>
              <w:rPr>
                <w:sz w:val="18"/>
                <w:szCs w:val="18"/>
              </w:rPr>
            </w:pPr>
            <w:r>
              <w:rPr>
                <w:rFonts w:hint="eastAsia"/>
                <w:sz w:val="18"/>
                <w:szCs w:val="18"/>
              </w:rPr>
              <w:t>对企业补助（基本建设）</w:t>
            </w:r>
          </w:p>
        </w:tc>
        <w:tc>
          <w:tcPr>
            <w:tcW w:w="783" w:type="dxa"/>
            <w:vMerge w:val="restart"/>
            <w:shd w:val="clear" w:color="auto" w:fill="auto"/>
            <w:vAlign w:val="center"/>
          </w:tcPr>
          <w:p>
            <w:pPr>
              <w:jc w:val="center"/>
              <w:rPr>
                <w:sz w:val="18"/>
                <w:szCs w:val="18"/>
              </w:rPr>
            </w:pPr>
            <w:r>
              <w:rPr>
                <w:rFonts w:hint="eastAsia"/>
                <w:sz w:val="18"/>
                <w:szCs w:val="18"/>
              </w:rPr>
              <w:t>对企业补助</w:t>
            </w:r>
          </w:p>
        </w:tc>
        <w:tc>
          <w:tcPr>
            <w:tcW w:w="981" w:type="dxa"/>
            <w:vMerge w:val="restart"/>
            <w:shd w:val="clear" w:color="auto" w:fill="auto"/>
            <w:vAlign w:val="center"/>
          </w:tcPr>
          <w:p>
            <w:pPr>
              <w:jc w:val="center"/>
              <w:rPr>
                <w:sz w:val="18"/>
                <w:szCs w:val="18"/>
              </w:rPr>
            </w:pPr>
            <w:r>
              <w:rPr>
                <w:rFonts w:hint="eastAsia"/>
                <w:sz w:val="18"/>
                <w:szCs w:val="18"/>
              </w:rPr>
              <w:t>对社会保障基金补助</w:t>
            </w:r>
          </w:p>
        </w:tc>
        <w:tc>
          <w:tcPr>
            <w:tcW w:w="882" w:type="dxa"/>
            <w:vMerge w:val="restart"/>
            <w:shd w:val="clear" w:color="auto" w:fill="auto"/>
            <w:vAlign w:val="center"/>
          </w:tcPr>
          <w:p>
            <w:pPr>
              <w:jc w:val="center"/>
              <w:rPr>
                <w:sz w:val="18"/>
                <w:szCs w:val="18"/>
              </w:rPr>
            </w:pPr>
            <w:r>
              <w:rPr>
                <w:rFonts w:hint="eastAsia"/>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22" w:hRule="atLeast"/>
          <w:tblHeader/>
        </w:trPr>
        <w:tc>
          <w:tcPr>
            <w:tcW w:w="300" w:type="dxa"/>
            <w:shd w:val="clear" w:color="auto" w:fill="auto"/>
            <w:vAlign w:val="center"/>
          </w:tcPr>
          <w:p>
            <w:pPr>
              <w:jc w:val="center"/>
              <w:rPr>
                <w:sz w:val="18"/>
                <w:szCs w:val="18"/>
              </w:rPr>
            </w:pPr>
            <w:r>
              <w:rPr>
                <w:rFonts w:hint="eastAsia"/>
                <w:sz w:val="18"/>
                <w:szCs w:val="18"/>
              </w:rPr>
              <w:t>类</w:t>
            </w:r>
          </w:p>
        </w:tc>
        <w:tc>
          <w:tcPr>
            <w:tcW w:w="260" w:type="dxa"/>
            <w:shd w:val="clear" w:color="auto" w:fill="auto"/>
            <w:vAlign w:val="center"/>
          </w:tcPr>
          <w:p>
            <w:pPr>
              <w:jc w:val="center"/>
              <w:rPr>
                <w:sz w:val="18"/>
                <w:szCs w:val="18"/>
              </w:rPr>
            </w:pPr>
            <w:r>
              <w:rPr>
                <w:rFonts w:hint="eastAsia"/>
                <w:sz w:val="18"/>
                <w:szCs w:val="18"/>
              </w:rPr>
              <w:t>款</w:t>
            </w:r>
          </w:p>
        </w:tc>
        <w:tc>
          <w:tcPr>
            <w:tcW w:w="331" w:type="dxa"/>
            <w:shd w:val="clear" w:color="auto" w:fill="auto"/>
            <w:vAlign w:val="center"/>
          </w:tcPr>
          <w:p>
            <w:pPr>
              <w:jc w:val="center"/>
              <w:rPr>
                <w:sz w:val="18"/>
                <w:szCs w:val="18"/>
              </w:rPr>
            </w:pPr>
            <w:r>
              <w:rPr>
                <w:rFonts w:hint="eastAsia"/>
                <w:sz w:val="18"/>
                <w:szCs w:val="18"/>
              </w:rPr>
              <w:t>项</w:t>
            </w:r>
          </w:p>
        </w:tc>
        <w:tc>
          <w:tcPr>
            <w:tcW w:w="2073" w:type="dxa"/>
            <w:vMerge w:val="continue"/>
            <w:shd w:val="clear" w:color="auto" w:fill="auto"/>
            <w:vAlign w:val="center"/>
          </w:tcPr>
          <w:p>
            <w:pPr>
              <w:jc w:val="center"/>
              <w:rPr>
                <w:sz w:val="18"/>
                <w:szCs w:val="18"/>
              </w:rPr>
            </w:pPr>
          </w:p>
        </w:tc>
        <w:tc>
          <w:tcPr>
            <w:tcW w:w="2073"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2" w:type="dxa"/>
            <w:vMerge w:val="continue"/>
            <w:shd w:val="clear" w:color="auto" w:fill="auto"/>
          </w:tcPr>
          <w:p>
            <w:pPr>
              <w:jc w:val="center"/>
              <w:rPr>
                <w:sz w:val="18"/>
                <w:szCs w:val="18"/>
              </w:rPr>
            </w:pPr>
          </w:p>
        </w:tc>
        <w:tc>
          <w:tcPr>
            <w:tcW w:w="783" w:type="dxa"/>
            <w:vMerge w:val="continue"/>
            <w:shd w:val="clear" w:color="auto" w:fill="auto"/>
            <w:vAlign w:val="center"/>
          </w:tcPr>
          <w:p>
            <w:pPr>
              <w:jc w:val="center"/>
              <w:rPr>
                <w:sz w:val="18"/>
                <w:szCs w:val="18"/>
              </w:rPr>
            </w:pPr>
          </w:p>
        </w:tc>
        <w:tc>
          <w:tcPr>
            <w:tcW w:w="981" w:type="dxa"/>
            <w:vMerge w:val="continue"/>
            <w:shd w:val="clear" w:color="auto" w:fill="auto"/>
          </w:tcPr>
          <w:p>
            <w:pPr>
              <w:jc w:val="center"/>
              <w:rPr>
                <w:sz w:val="18"/>
                <w:szCs w:val="18"/>
              </w:rPr>
            </w:pPr>
          </w:p>
        </w:tc>
        <w:tc>
          <w:tcPr>
            <w:tcW w:w="882" w:type="dxa"/>
            <w:vMerge w:val="continue"/>
            <w:shd w:val="clear" w:color="auto" w:fill="auto"/>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trPr>
        <w:tc>
          <w:tcPr>
            <w:tcW w:w="300" w:type="dxa"/>
            <w:shd w:val="clear" w:color="auto" w:fill="auto"/>
            <w:vAlign w:val="center"/>
          </w:tcPr>
          <w:p>
            <w:pPr>
              <w:jc w:val="center"/>
              <w:rPr>
                <w:sz w:val="18"/>
                <w:szCs w:val="18"/>
              </w:rPr>
            </w:pPr>
            <w:r>
              <w:rPr>
                <w:rFonts w:hint="eastAsia"/>
                <w:color w:val="000000"/>
                <w:sz w:val="18"/>
                <w:szCs w:val="18"/>
              </w:rPr>
              <w:t>※</w:t>
            </w:r>
          </w:p>
        </w:tc>
        <w:tc>
          <w:tcPr>
            <w:tcW w:w="260" w:type="dxa"/>
            <w:shd w:val="clear" w:color="auto" w:fill="auto"/>
            <w:vAlign w:val="center"/>
          </w:tcPr>
          <w:p>
            <w:pPr>
              <w:jc w:val="center"/>
              <w:rPr>
                <w:sz w:val="18"/>
                <w:szCs w:val="18"/>
              </w:rPr>
            </w:pPr>
            <w:r>
              <w:rPr>
                <w:rFonts w:hint="eastAsia"/>
                <w:color w:val="000000"/>
                <w:sz w:val="18"/>
                <w:szCs w:val="18"/>
              </w:rPr>
              <w:t>※</w:t>
            </w:r>
          </w:p>
        </w:tc>
        <w:tc>
          <w:tcPr>
            <w:tcW w:w="331" w:type="dxa"/>
            <w:shd w:val="clear" w:color="auto" w:fill="auto"/>
            <w:vAlign w:val="center"/>
          </w:tcPr>
          <w:p>
            <w:pPr>
              <w:jc w:val="center"/>
              <w:rPr>
                <w:sz w:val="18"/>
                <w:szCs w:val="18"/>
              </w:rPr>
            </w:pPr>
            <w:r>
              <w:rPr>
                <w:rFonts w:hint="eastAsia"/>
                <w:color w:val="000000"/>
                <w:sz w:val="18"/>
                <w:szCs w:val="18"/>
              </w:rPr>
              <w:t>※</w:t>
            </w:r>
          </w:p>
        </w:tc>
        <w:tc>
          <w:tcPr>
            <w:tcW w:w="2073" w:type="dxa"/>
            <w:shd w:val="clear" w:color="auto" w:fill="auto"/>
            <w:vAlign w:val="center"/>
          </w:tcPr>
          <w:p>
            <w:pPr>
              <w:jc w:val="center"/>
              <w:rPr>
                <w:sz w:val="18"/>
                <w:szCs w:val="18"/>
              </w:rPr>
            </w:pPr>
            <w:r>
              <w:rPr>
                <w:rFonts w:hint="eastAsia"/>
                <w:color w:val="000000"/>
                <w:sz w:val="18"/>
                <w:szCs w:val="18"/>
              </w:rPr>
              <w:t>※</w:t>
            </w:r>
          </w:p>
        </w:tc>
        <w:tc>
          <w:tcPr>
            <w:tcW w:w="2073" w:type="dxa"/>
            <w:shd w:val="clear" w:color="auto" w:fill="auto"/>
            <w:vAlign w:val="center"/>
          </w:tcPr>
          <w:p>
            <w:pPr>
              <w:jc w:val="center"/>
              <w:rPr>
                <w:sz w:val="18"/>
                <w:szCs w:val="18"/>
              </w:rPr>
            </w:pPr>
            <w:r>
              <w:rPr>
                <w:rFonts w:hint="eastAsia"/>
                <w:color w:val="000000"/>
                <w:sz w:val="18"/>
                <w:szCs w:val="18"/>
              </w:rPr>
              <w:t>※</w:t>
            </w:r>
          </w:p>
        </w:tc>
        <w:tc>
          <w:tcPr>
            <w:tcW w:w="881" w:type="dxa"/>
            <w:shd w:val="clear" w:color="auto" w:fill="auto"/>
            <w:vAlign w:val="center"/>
          </w:tcPr>
          <w:p>
            <w:pPr>
              <w:jc w:val="center"/>
              <w:rPr>
                <w:sz w:val="18"/>
                <w:szCs w:val="18"/>
              </w:rPr>
            </w:pPr>
            <w:r>
              <w:rPr>
                <w:rFonts w:hint="eastAsia"/>
                <w:sz w:val="18"/>
                <w:szCs w:val="18"/>
              </w:rPr>
              <w:t>1</w:t>
            </w:r>
          </w:p>
        </w:tc>
        <w:tc>
          <w:tcPr>
            <w:tcW w:w="881" w:type="dxa"/>
            <w:shd w:val="clear" w:color="auto" w:fill="auto"/>
            <w:vAlign w:val="center"/>
          </w:tcPr>
          <w:p>
            <w:pPr>
              <w:jc w:val="center"/>
              <w:rPr>
                <w:sz w:val="18"/>
                <w:szCs w:val="18"/>
              </w:rPr>
            </w:pPr>
            <w:r>
              <w:rPr>
                <w:rFonts w:hint="eastAsia"/>
                <w:sz w:val="18"/>
                <w:szCs w:val="18"/>
              </w:rPr>
              <w:t>2</w:t>
            </w:r>
          </w:p>
        </w:tc>
        <w:tc>
          <w:tcPr>
            <w:tcW w:w="881" w:type="dxa"/>
            <w:shd w:val="clear" w:color="auto" w:fill="auto"/>
            <w:vAlign w:val="center"/>
          </w:tcPr>
          <w:p>
            <w:pPr>
              <w:jc w:val="center"/>
              <w:rPr>
                <w:sz w:val="18"/>
                <w:szCs w:val="18"/>
              </w:rPr>
            </w:pPr>
            <w:r>
              <w:rPr>
                <w:rFonts w:hint="eastAsia"/>
                <w:sz w:val="18"/>
                <w:szCs w:val="18"/>
              </w:rPr>
              <w:t>3</w:t>
            </w:r>
          </w:p>
        </w:tc>
        <w:tc>
          <w:tcPr>
            <w:tcW w:w="881" w:type="dxa"/>
            <w:shd w:val="clear" w:color="auto" w:fill="auto"/>
            <w:vAlign w:val="center"/>
          </w:tcPr>
          <w:p>
            <w:pPr>
              <w:jc w:val="center"/>
              <w:rPr>
                <w:sz w:val="18"/>
                <w:szCs w:val="18"/>
              </w:rPr>
            </w:pPr>
            <w:r>
              <w:rPr>
                <w:rFonts w:hint="eastAsia"/>
                <w:sz w:val="18"/>
                <w:szCs w:val="18"/>
              </w:rPr>
              <w:t>4</w:t>
            </w:r>
          </w:p>
        </w:tc>
        <w:tc>
          <w:tcPr>
            <w:tcW w:w="881" w:type="dxa"/>
            <w:shd w:val="clear" w:color="auto" w:fill="auto"/>
            <w:vAlign w:val="center"/>
          </w:tcPr>
          <w:p>
            <w:pPr>
              <w:jc w:val="center"/>
              <w:rPr>
                <w:sz w:val="18"/>
                <w:szCs w:val="18"/>
              </w:rPr>
            </w:pPr>
            <w:r>
              <w:rPr>
                <w:rFonts w:hint="eastAsia"/>
                <w:sz w:val="18"/>
                <w:szCs w:val="18"/>
              </w:rPr>
              <w:t>5</w:t>
            </w:r>
          </w:p>
        </w:tc>
        <w:tc>
          <w:tcPr>
            <w:tcW w:w="881" w:type="dxa"/>
            <w:shd w:val="clear" w:color="auto" w:fill="auto"/>
            <w:vAlign w:val="center"/>
          </w:tcPr>
          <w:p>
            <w:pPr>
              <w:jc w:val="center"/>
              <w:rPr>
                <w:sz w:val="18"/>
                <w:szCs w:val="18"/>
              </w:rPr>
            </w:pPr>
            <w:r>
              <w:rPr>
                <w:rFonts w:hint="eastAsia"/>
                <w:sz w:val="18"/>
                <w:szCs w:val="18"/>
              </w:rPr>
              <w:t>6</w:t>
            </w:r>
          </w:p>
        </w:tc>
        <w:tc>
          <w:tcPr>
            <w:tcW w:w="881" w:type="dxa"/>
            <w:shd w:val="clear" w:color="auto" w:fill="auto"/>
            <w:vAlign w:val="center"/>
          </w:tcPr>
          <w:p>
            <w:pPr>
              <w:jc w:val="center"/>
              <w:rPr>
                <w:sz w:val="18"/>
                <w:szCs w:val="18"/>
              </w:rPr>
            </w:pPr>
            <w:r>
              <w:rPr>
                <w:rFonts w:hint="eastAsia"/>
                <w:sz w:val="18"/>
                <w:szCs w:val="18"/>
              </w:rPr>
              <w:t>7</w:t>
            </w:r>
          </w:p>
        </w:tc>
        <w:tc>
          <w:tcPr>
            <w:tcW w:w="882" w:type="dxa"/>
            <w:shd w:val="clear" w:color="auto" w:fill="auto"/>
            <w:vAlign w:val="center"/>
          </w:tcPr>
          <w:p>
            <w:pPr>
              <w:jc w:val="center"/>
              <w:rPr>
                <w:sz w:val="18"/>
                <w:szCs w:val="18"/>
              </w:rPr>
            </w:pPr>
            <w:r>
              <w:rPr>
                <w:rFonts w:hint="eastAsia"/>
                <w:sz w:val="18"/>
                <w:szCs w:val="18"/>
              </w:rPr>
              <w:t>8</w:t>
            </w:r>
          </w:p>
        </w:tc>
        <w:tc>
          <w:tcPr>
            <w:tcW w:w="783" w:type="dxa"/>
            <w:shd w:val="clear" w:color="auto" w:fill="auto"/>
            <w:vAlign w:val="center"/>
          </w:tcPr>
          <w:p>
            <w:pPr>
              <w:jc w:val="center"/>
              <w:rPr>
                <w:sz w:val="18"/>
                <w:szCs w:val="18"/>
              </w:rPr>
            </w:pPr>
            <w:r>
              <w:rPr>
                <w:rFonts w:hint="eastAsia"/>
                <w:sz w:val="18"/>
                <w:szCs w:val="18"/>
              </w:rPr>
              <w:t>9</w:t>
            </w:r>
          </w:p>
        </w:tc>
        <w:tc>
          <w:tcPr>
            <w:tcW w:w="981" w:type="dxa"/>
            <w:shd w:val="clear" w:color="auto" w:fill="auto"/>
            <w:vAlign w:val="center"/>
          </w:tcPr>
          <w:p>
            <w:pPr>
              <w:jc w:val="center"/>
              <w:rPr>
                <w:sz w:val="18"/>
                <w:szCs w:val="18"/>
              </w:rPr>
            </w:pPr>
            <w:r>
              <w:rPr>
                <w:rFonts w:hint="eastAsia"/>
                <w:sz w:val="18"/>
                <w:szCs w:val="18"/>
              </w:rPr>
              <w:t>10</w:t>
            </w:r>
          </w:p>
        </w:tc>
        <w:tc>
          <w:tcPr>
            <w:tcW w:w="882" w:type="dxa"/>
            <w:shd w:val="clear" w:color="auto" w:fill="auto"/>
            <w:vAlign w:val="center"/>
          </w:tcPr>
          <w:p>
            <w:pPr>
              <w:jc w:val="center"/>
              <w:rPr>
                <w:sz w:val="18"/>
                <w:szCs w:val="18"/>
              </w:rPr>
            </w:pPr>
            <w:r>
              <w:rPr>
                <w:rFonts w:hint="eastAsia"/>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rPr>
            </w:pPr>
          </w:p>
        </w:tc>
        <w:tc>
          <w:tcPr>
            <w:tcW w:w="260" w:type="dxa"/>
            <w:shd w:val="clear" w:color="auto" w:fill="auto"/>
            <w:vAlign w:val="center"/>
          </w:tcPr>
          <w:p>
            <w:pPr>
              <w:jc w:val="center"/>
              <w:rPr>
                <w:b/>
                <w:sz w:val="18"/>
                <w:szCs w:val="18"/>
              </w:rPr>
            </w:pPr>
          </w:p>
        </w:tc>
        <w:tc>
          <w:tcPr>
            <w:tcW w:w="331" w:type="dxa"/>
            <w:shd w:val="clear" w:color="auto" w:fill="auto"/>
            <w:vAlign w:val="center"/>
          </w:tcPr>
          <w:p>
            <w:pPr>
              <w:jc w:val="center"/>
              <w:rPr>
                <w:b/>
                <w:sz w:val="18"/>
                <w:szCs w:val="18"/>
              </w:rPr>
            </w:pPr>
          </w:p>
        </w:tc>
        <w:tc>
          <w:tcPr>
            <w:tcW w:w="2073" w:type="dxa"/>
            <w:shd w:val="clear" w:color="auto" w:fill="auto"/>
            <w:vAlign w:val="center"/>
          </w:tcPr>
          <w:p>
            <w:pPr>
              <w:jc w:val="center"/>
              <w:rPr>
                <w:b/>
                <w:sz w:val="18"/>
                <w:szCs w:val="18"/>
              </w:rPr>
            </w:pPr>
            <w:r>
              <w:rPr>
                <w:rFonts w:hint="default" w:ascii="宋体" w:hAnsi="宋体"/>
                <w:b/>
                <w:kern w:val="0"/>
                <w:sz w:val="13"/>
                <w:szCs w:val="13"/>
              </w:rPr>
              <w:t>总计</w:t>
            </w:r>
          </w:p>
        </w:tc>
        <w:tc>
          <w:tcPr>
            <w:tcW w:w="2073" w:type="dxa"/>
            <w:shd w:val="clear" w:color="auto" w:fill="auto"/>
            <w:vAlign w:val="center"/>
          </w:tcPr>
          <w:p>
            <w:pPr>
              <w:jc w:val="left"/>
              <w:rPr>
                <w:b/>
                <w:sz w:val="18"/>
                <w:szCs w:val="18"/>
              </w:rPr>
            </w:pPr>
          </w:p>
        </w:tc>
        <w:tc>
          <w:tcPr>
            <w:tcW w:w="881" w:type="dxa"/>
            <w:shd w:val="clear" w:color="auto" w:fill="auto"/>
            <w:vAlign w:val="center"/>
          </w:tcPr>
          <w:p>
            <w:pPr>
              <w:ind w:right="-29" w:rightChars="-14"/>
              <w:jc w:val="right"/>
              <w:rPr>
                <w:b/>
                <w:sz w:val="18"/>
                <w:szCs w:val="18"/>
              </w:rPr>
            </w:pPr>
            <w:r>
              <w:rPr>
                <w:rFonts w:hint="default" w:ascii="宋体" w:hAnsi="宋体"/>
                <w:b/>
                <w:kern w:val="0"/>
                <w:sz w:val="13"/>
                <w:szCs w:val="13"/>
              </w:rPr>
              <w:t>287.00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r>
              <w:rPr>
                <w:rFonts w:hint="default" w:ascii="宋体" w:hAnsi="宋体"/>
                <w:b/>
                <w:kern w:val="0"/>
                <w:sz w:val="13"/>
                <w:szCs w:val="13"/>
              </w:rPr>
              <w:t>287.00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c>
          <w:tcPr>
            <w:tcW w:w="783" w:type="dxa"/>
            <w:shd w:val="clear" w:color="auto" w:fill="auto"/>
            <w:vAlign w:val="center"/>
          </w:tcPr>
          <w:p>
            <w:pPr>
              <w:jc w:val="right"/>
              <w:rPr>
                <w:b/>
                <w:sz w:val="18"/>
                <w:szCs w:val="18"/>
              </w:rPr>
            </w:pPr>
          </w:p>
        </w:tc>
        <w:tc>
          <w:tcPr>
            <w:tcW w:w="9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rPr>
            </w:pPr>
          </w:p>
        </w:tc>
        <w:tc>
          <w:tcPr>
            <w:tcW w:w="260" w:type="dxa"/>
            <w:shd w:val="clear" w:color="auto" w:fill="auto"/>
            <w:vAlign w:val="center"/>
          </w:tcPr>
          <w:p>
            <w:pPr>
              <w:jc w:val="center"/>
              <w:rPr>
                <w:b/>
                <w:sz w:val="18"/>
                <w:szCs w:val="18"/>
              </w:rPr>
            </w:pPr>
          </w:p>
        </w:tc>
        <w:tc>
          <w:tcPr>
            <w:tcW w:w="331" w:type="dxa"/>
            <w:shd w:val="clear" w:color="auto" w:fill="auto"/>
            <w:vAlign w:val="center"/>
          </w:tcPr>
          <w:p>
            <w:pPr>
              <w:jc w:val="center"/>
              <w:rPr>
                <w:b/>
                <w:sz w:val="18"/>
                <w:szCs w:val="18"/>
              </w:rPr>
            </w:pPr>
          </w:p>
        </w:tc>
        <w:tc>
          <w:tcPr>
            <w:tcW w:w="2073" w:type="dxa"/>
            <w:shd w:val="clear" w:color="auto" w:fill="auto"/>
            <w:vAlign w:val="center"/>
          </w:tcPr>
          <w:p>
            <w:pPr>
              <w:jc w:val="left"/>
              <w:rPr>
                <w:b/>
                <w:sz w:val="18"/>
                <w:szCs w:val="18"/>
              </w:rPr>
            </w:pPr>
            <w:r>
              <w:rPr>
                <w:rFonts w:hint="default" w:ascii="宋体" w:hAnsi="宋体"/>
                <w:b/>
                <w:kern w:val="0"/>
                <w:sz w:val="13"/>
                <w:szCs w:val="13"/>
              </w:rPr>
              <w:t>皮山县机关事务服务中心</w:t>
            </w:r>
          </w:p>
        </w:tc>
        <w:tc>
          <w:tcPr>
            <w:tcW w:w="2073" w:type="dxa"/>
            <w:shd w:val="clear" w:color="auto" w:fill="auto"/>
            <w:vAlign w:val="center"/>
          </w:tcPr>
          <w:p>
            <w:pPr>
              <w:jc w:val="left"/>
              <w:rPr>
                <w:b/>
                <w:sz w:val="18"/>
                <w:szCs w:val="18"/>
              </w:rPr>
            </w:pPr>
          </w:p>
        </w:tc>
        <w:tc>
          <w:tcPr>
            <w:tcW w:w="881" w:type="dxa"/>
            <w:shd w:val="clear" w:color="auto" w:fill="auto"/>
            <w:vAlign w:val="center"/>
          </w:tcPr>
          <w:p>
            <w:pPr>
              <w:ind w:right="-29" w:rightChars="-14"/>
              <w:jc w:val="right"/>
              <w:rPr>
                <w:b/>
                <w:sz w:val="18"/>
                <w:szCs w:val="18"/>
              </w:rPr>
            </w:pPr>
            <w:r>
              <w:rPr>
                <w:rFonts w:hint="default" w:ascii="宋体" w:hAnsi="宋体"/>
                <w:b/>
                <w:kern w:val="0"/>
                <w:sz w:val="13"/>
                <w:szCs w:val="13"/>
              </w:rPr>
              <w:t>287.00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r>
              <w:rPr>
                <w:rFonts w:hint="default" w:ascii="宋体" w:hAnsi="宋体"/>
                <w:b/>
                <w:kern w:val="0"/>
                <w:sz w:val="13"/>
                <w:szCs w:val="13"/>
              </w:rPr>
              <w:t>287.00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c>
          <w:tcPr>
            <w:tcW w:w="783" w:type="dxa"/>
            <w:shd w:val="clear" w:color="auto" w:fill="auto"/>
            <w:vAlign w:val="center"/>
          </w:tcPr>
          <w:p>
            <w:pPr>
              <w:jc w:val="right"/>
              <w:rPr>
                <w:b/>
                <w:sz w:val="18"/>
                <w:szCs w:val="18"/>
              </w:rPr>
            </w:pPr>
          </w:p>
        </w:tc>
        <w:tc>
          <w:tcPr>
            <w:tcW w:w="9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rPr>
            </w:pPr>
            <w:r>
              <w:rPr>
                <w:rFonts w:hint="default" w:ascii="宋体" w:hAnsi="宋体"/>
                <w:b/>
                <w:kern w:val="0"/>
                <w:sz w:val="13"/>
                <w:szCs w:val="13"/>
              </w:rPr>
              <w:t>201</w:t>
            </w:r>
          </w:p>
        </w:tc>
        <w:tc>
          <w:tcPr>
            <w:tcW w:w="260" w:type="dxa"/>
            <w:shd w:val="clear" w:color="auto" w:fill="auto"/>
            <w:vAlign w:val="center"/>
          </w:tcPr>
          <w:p>
            <w:pPr>
              <w:jc w:val="center"/>
              <w:rPr>
                <w:b/>
                <w:sz w:val="18"/>
                <w:szCs w:val="18"/>
              </w:rPr>
            </w:pPr>
          </w:p>
        </w:tc>
        <w:tc>
          <w:tcPr>
            <w:tcW w:w="331" w:type="dxa"/>
            <w:shd w:val="clear" w:color="auto" w:fill="auto"/>
            <w:vAlign w:val="center"/>
          </w:tcPr>
          <w:p>
            <w:pPr>
              <w:jc w:val="center"/>
              <w:rPr>
                <w:b/>
                <w:sz w:val="18"/>
                <w:szCs w:val="18"/>
              </w:rPr>
            </w:pPr>
          </w:p>
        </w:tc>
        <w:tc>
          <w:tcPr>
            <w:tcW w:w="2073" w:type="dxa"/>
            <w:shd w:val="clear" w:color="auto" w:fill="auto"/>
            <w:vAlign w:val="center"/>
          </w:tcPr>
          <w:p>
            <w:pPr>
              <w:jc w:val="left"/>
              <w:rPr>
                <w:b/>
                <w:sz w:val="18"/>
                <w:szCs w:val="18"/>
              </w:rPr>
            </w:pPr>
            <w:r>
              <w:rPr>
                <w:rFonts w:hint="default" w:ascii="宋体" w:hAnsi="宋体"/>
                <w:b/>
                <w:kern w:val="0"/>
                <w:sz w:val="13"/>
                <w:szCs w:val="13"/>
              </w:rPr>
              <w:t xml:space="preserve">  一般公共服务支出</w:t>
            </w:r>
          </w:p>
        </w:tc>
        <w:tc>
          <w:tcPr>
            <w:tcW w:w="2073" w:type="dxa"/>
            <w:shd w:val="clear" w:color="auto" w:fill="auto"/>
            <w:vAlign w:val="center"/>
          </w:tcPr>
          <w:p>
            <w:pPr>
              <w:jc w:val="left"/>
              <w:rPr>
                <w:b/>
                <w:sz w:val="18"/>
                <w:szCs w:val="18"/>
              </w:rPr>
            </w:pPr>
          </w:p>
        </w:tc>
        <w:tc>
          <w:tcPr>
            <w:tcW w:w="881" w:type="dxa"/>
            <w:shd w:val="clear" w:color="auto" w:fill="auto"/>
            <w:vAlign w:val="center"/>
          </w:tcPr>
          <w:p>
            <w:pPr>
              <w:ind w:right="-29" w:rightChars="-14"/>
              <w:jc w:val="right"/>
              <w:rPr>
                <w:b/>
                <w:sz w:val="18"/>
                <w:szCs w:val="18"/>
              </w:rPr>
            </w:pPr>
            <w:r>
              <w:rPr>
                <w:rFonts w:hint="default" w:ascii="宋体" w:hAnsi="宋体"/>
                <w:b/>
                <w:kern w:val="0"/>
                <w:sz w:val="13"/>
                <w:szCs w:val="13"/>
              </w:rPr>
              <w:t>287.00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r>
              <w:rPr>
                <w:rFonts w:hint="default" w:ascii="宋体" w:hAnsi="宋体"/>
                <w:b/>
                <w:kern w:val="0"/>
                <w:sz w:val="13"/>
                <w:szCs w:val="13"/>
              </w:rPr>
              <w:t>287.00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c>
          <w:tcPr>
            <w:tcW w:w="783" w:type="dxa"/>
            <w:shd w:val="clear" w:color="auto" w:fill="auto"/>
            <w:vAlign w:val="center"/>
          </w:tcPr>
          <w:p>
            <w:pPr>
              <w:jc w:val="right"/>
              <w:rPr>
                <w:b/>
                <w:sz w:val="18"/>
                <w:szCs w:val="18"/>
              </w:rPr>
            </w:pPr>
          </w:p>
        </w:tc>
        <w:tc>
          <w:tcPr>
            <w:tcW w:w="9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rPr>
            </w:pPr>
            <w:r>
              <w:rPr>
                <w:rFonts w:hint="default" w:ascii="宋体" w:hAnsi="宋体"/>
                <w:b/>
                <w:kern w:val="0"/>
                <w:sz w:val="13"/>
                <w:szCs w:val="13"/>
              </w:rPr>
              <w:t>201</w:t>
            </w:r>
          </w:p>
        </w:tc>
        <w:tc>
          <w:tcPr>
            <w:tcW w:w="260" w:type="dxa"/>
            <w:shd w:val="clear" w:color="auto" w:fill="auto"/>
            <w:vAlign w:val="center"/>
          </w:tcPr>
          <w:p>
            <w:pPr>
              <w:jc w:val="center"/>
              <w:rPr>
                <w:b/>
                <w:sz w:val="18"/>
                <w:szCs w:val="18"/>
              </w:rPr>
            </w:pPr>
            <w:r>
              <w:rPr>
                <w:rFonts w:hint="default" w:ascii="宋体" w:hAnsi="宋体"/>
                <w:b/>
                <w:kern w:val="0"/>
                <w:sz w:val="13"/>
                <w:szCs w:val="13"/>
              </w:rPr>
              <w:t>03</w:t>
            </w:r>
          </w:p>
        </w:tc>
        <w:tc>
          <w:tcPr>
            <w:tcW w:w="331" w:type="dxa"/>
            <w:shd w:val="clear" w:color="auto" w:fill="auto"/>
            <w:vAlign w:val="center"/>
          </w:tcPr>
          <w:p>
            <w:pPr>
              <w:jc w:val="center"/>
              <w:rPr>
                <w:b/>
                <w:sz w:val="18"/>
                <w:szCs w:val="18"/>
              </w:rPr>
            </w:pPr>
          </w:p>
        </w:tc>
        <w:tc>
          <w:tcPr>
            <w:tcW w:w="2073" w:type="dxa"/>
            <w:shd w:val="clear" w:color="auto" w:fill="auto"/>
            <w:vAlign w:val="center"/>
          </w:tcPr>
          <w:p>
            <w:pPr>
              <w:jc w:val="left"/>
              <w:rPr>
                <w:b/>
                <w:sz w:val="18"/>
                <w:szCs w:val="18"/>
              </w:rPr>
            </w:pPr>
            <w:r>
              <w:rPr>
                <w:rFonts w:hint="default" w:ascii="宋体" w:hAnsi="宋体"/>
                <w:b/>
                <w:kern w:val="0"/>
                <w:sz w:val="13"/>
                <w:szCs w:val="13"/>
              </w:rPr>
              <w:t xml:space="preserve">    政府办公厅（室）及相关机构事务</w:t>
            </w:r>
          </w:p>
        </w:tc>
        <w:tc>
          <w:tcPr>
            <w:tcW w:w="2073" w:type="dxa"/>
            <w:shd w:val="clear" w:color="auto" w:fill="auto"/>
            <w:vAlign w:val="center"/>
          </w:tcPr>
          <w:p>
            <w:pPr>
              <w:jc w:val="left"/>
              <w:rPr>
                <w:b/>
                <w:sz w:val="18"/>
                <w:szCs w:val="18"/>
              </w:rPr>
            </w:pPr>
          </w:p>
        </w:tc>
        <w:tc>
          <w:tcPr>
            <w:tcW w:w="881" w:type="dxa"/>
            <w:shd w:val="clear" w:color="auto" w:fill="auto"/>
            <w:vAlign w:val="center"/>
          </w:tcPr>
          <w:p>
            <w:pPr>
              <w:ind w:right="-29" w:rightChars="-14"/>
              <w:jc w:val="right"/>
              <w:rPr>
                <w:b/>
                <w:sz w:val="18"/>
                <w:szCs w:val="18"/>
              </w:rPr>
            </w:pPr>
            <w:r>
              <w:rPr>
                <w:rFonts w:hint="default" w:ascii="宋体" w:hAnsi="宋体"/>
                <w:b/>
                <w:kern w:val="0"/>
                <w:sz w:val="13"/>
                <w:szCs w:val="13"/>
              </w:rPr>
              <w:t>287.00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r>
              <w:rPr>
                <w:rFonts w:hint="default" w:ascii="宋体" w:hAnsi="宋体"/>
                <w:b/>
                <w:kern w:val="0"/>
                <w:sz w:val="13"/>
                <w:szCs w:val="13"/>
              </w:rPr>
              <w:t>287.00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c>
          <w:tcPr>
            <w:tcW w:w="783" w:type="dxa"/>
            <w:shd w:val="clear" w:color="auto" w:fill="auto"/>
            <w:vAlign w:val="center"/>
          </w:tcPr>
          <w:p>
            <w:pPr>
              <w:jc w:val="right"/>
              <w:rPr>
                <w:b/>
                <w:sz w:val="18"/>
                <w:szCs w:val="18"/>
              </w:rPr>
            </w:pPr>
          </w:p>
        </w:tc>
        <w:tc>
          <w:tcPr>
            <w:tcW w:w="9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03</w:t>
            </w:r>
          </w:p>
        </w:tc>
        <w:tc>
          <w:tcPr>
            <w:tcW w:w="331" w:type="dxa"/>
            <w:shd w:val="clear" w:color="auto" w:fill="auto"/>
            <w:vAlign w:val="center"/>
          </w:tcPr>
          <w:p>
            <w:pPr>
              <w:jc w:val="center"/>
              <w:rPr>
                <w:sz w:val="18"/>
                <w:szCs w:val="18"/>
              </w:rPr>
            </w:pPr>
            <w:r>
              <w:rPr>
                <w:rFonts w:hint="default" w:ascii="宋体" w:hAnsi="宋体"/>
                <w:kern w:val="0"/>
                <w:sz w:val="13"/>
                <w:szCs w:val="13"/>
              </w:rPr>
              <w:t>03</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机关服务</w:t>
            </w:r>
          </w:p>
        </w:tc>
        <w:tc>
          <w:tcPr>
            <w:tcW w:w="2073" w:type="dxa"/>
            <w:shd w:val="clear" w:color="auto" w:fill="auto"/>
            <w:vAlign w:val="center"/>
          </w:tcPr>
          <w:p>
            <w:pPr>
              <w:jc w:val="left"/>
              <w:rPr>
                <w:sz w:val="18"/>
                <w:szCs w:val="18"/>
              </w:rPr>
            </w:pPr>
            <w:r>
              <w:rPr>
                <w:rFonts w:hint="default" w:ascii="宋体" w:hAnsi="宋体"/>
                <w:kern w:val="0"/>
                <w:sz w:val="13"/>
                <w:szCs w:val="13"/>
              </w:rPr>
              <w:t>2025年度公务接待费</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277.00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r>
              <w:rPr>
                <w:rFonts w:hint="default" w:ascii="宋体" w:hAnsi="宋体"/>
                <w:kern w:val="0"/>
                <w:sz w:val="13"/>
                <w:szCs w:val="13"/>
              </w:rPr>
              <w:t>277.00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03</w:t>
            </w:r>
          </w:p>
        </w:tc>
        <w:tc>
          <w:tcPr>
            <w:tcW w:w="331" w:type="dxa"/>
            <w:shd w:val="clear" w:color="auto" w:fill="auto"/>
            <w:vAlign w:val="center"/>
          </w:tcPr>
          <w:p>
            <w:pPr>
              <w:jc w:val="center"/>
              <w:rPr>
                <w:sz w:val="18"/>
                <w:szCs w:val="18"/>
              </w:rPr>
            </w:pPr>
            <w:r>
              <w:rPr>
                <w:rFonts w:hint="default" w:ascii="宋体" w:hAnsi="宋体"/>
                <w:kern w:val="0"/>
                <w:sz w:val="13"/>
                <w:szCs w:val="13"/>
              </w:rPr>
              <w:t>03</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机关服务</w:t>
            </w:r>
          </w:p>
        </w:tc>
        <w:tc>
          <w:tcPr>
            <w:tcW w:w="2073" w:type="dxa"/>
            <w:shd w:val="clear" w:color="auto" w:fill="auto"/>
            <w:vAlign w:val="center"/>
          </w:tcPr>
          <w:p>
            <w:pPr>
              <w:jc w:val="left"/>
              <w:rPr>
                <w:sz w:val="18"/>
                <w:szCs w:val="18"/>
              </w:rPr>
            </w:pPr>
            <w:r>
              <w:rPr>
                <w:rFonts w:hint="default" w:ascii="宋体" w:hAnsi="宋体"/>
                <w:kern w:val="0"/>
                <w:sz w:val="13"/>
                <w:szCs w:val="13"/>
              </w:rPr>
              <w:t>2025年车辆运行经费</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10.00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r>
              <w:rPr>
                <w:rFonts w:hint="default" w:ascii="宋体" w:hAnsi="宋体"/>
                <w:kern w:val="0"/>
                <w:sz w:val="13"/>
                <w:szCs w:val="13"/>
              </w:rPr>
              <w:t>10.00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r>
        <w:rPr>
          <w:rFonts w:hint="eastAsia" w:ascii="宋体" w:hAnsi="宋体"/>
          <w:color w:val="000000"/>
          <w:sz w:val="18"/>
          <w:szCs w:val="18"/>
        </w:rPr>
        <w:t>表8</w:t>
      </w:r>
    </w:p>
    <w:p>
      <w:pPr>
        <w:jc w:val="center"/>
        <w:rPr>
          <w:rFonts w:hint="default" w:ascii="仿宋" w:hAnsi="宋体" w:eastAsia="仿宋"/>
          <w:b/>
          <w:color w:val="000000"/>
          <w:sz w:val="28"/>
          <w:szCs w:val="28"/>
        </w:rPr>
      </w:pPr>
      <w:r>
        <w:rPr>
          <w:rFonts w:hint="eastAsia" w:ascii="仿宋" w:hAnsi="宋体" w:eastAsia="仿宋"/>
          <w:b/>
          <w:color w:val="000000"/>
          <w:sz w:val="28"/>
          <w:szCs w:val="28"/>
        </w:rPr>
        <w:t>政府性基金预算支出情况表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编制部门：皮山县机关事务服务中心</w:t>
            </w:r>
          </w:p>
        </w:tc>
        <w:tc>
          <w:tcPr>
            <w:tcW w:w="191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rPr>
            </w:pPr>
            <w:r>
              <w:rPr>
                <w:rFonts w:hint="eastAsia"/>
                <w:sz w:val="18"/>
                <w:szCs w:val="18"/>
              </w:rPr>
              <w:t>科目</w:t>
            </w:r>
          </w:p>
        </w:tc>
        <w:tc>
          <w:tcPr>
            <w:tcW w:w="5670" w:type="dxa"/>
            <w:gridSpan w:val="5"/>
            <w:shd w:val="clear" w:color="auto" w:fill="auto"/>
            <w:vAlign w:val="center"/>
          </w:tcPr>
          <w:p>
            <w:pPr>
              <w:jc w:val="center"/>
              <w:rPr>
                <w:sz w:val="18"/>
                <w:szCs w:val="18"/>
              </w:rPr>
            </w:pPr>
            <w:r>
              <w:rPr>
                <w:rFonts w:hint="eastAsia"/>
                <w:sz w:val="18"/>
                <w:szCs w:val="18"/>
              </w:rPr>
              <w:t>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2551" w:type="dxa"/>
            <w:vMerge w:val="restart"/>
            <w:shd w:val="clear" w:color="auto" w:fill="auto"/>
            <w:vAlign w:val="center"/>
          </w:tcPr>
          <w:p>
            <w:pPr>
              <w:jc w:val="center"/>
              <w:rPr>
                <w:sz w:val="18"/>
                <w:szCs w:val="18"/>
              </w:rPr>
            </w:pPr>
            <w:r>
              <w:rPr>
                <w:rFonts w:hint="eastAsia"/>
                <w:sz w:val="18"/>
                <w:szCs w:val="18"/>
              </w:rPr>
              <w:t>功能分类科目名称</w:t>
            </w:r>
          </w:p>
        </w:tc>
        <w:tc>
          <w:tcPr>
            <w:tcW w:w="1418" w:type="dxa"/>
            <w:vMerge w:val="restart"/>
            <w:shd w:val="clear" w:color="auto" w:fill="auto"/>
            <w:vAlign w:val="center"/>
          </w:tcPr>
          <w:p>
            <w:pPr>
              <w:jc w:val="center"/>
              <w:rPr>
                <w:sz w:val="18"/>
                <w:szCs w:val="18"/>
              </w:rPr>
            </w:pPr>
            <w:r>
              <w:rPr>
                <w:rFonts w:hint="eastAsia"/>
                <w:sz w:val="18"/>
                <w:szCs w:val="18"/>
              </w:rPr>
              <w:t>合计</w:t>
            </w:r>
          </w:p>
        </w:tc>
        <w:tc>
          <w:tcPr>
            <w:tcW w:w="2835" w:type="dxa"/>
            <w:gridSpan w:val="3"/>
            <w:shd w:val="clear" w:color="auto" w:fill="auto"/>
            <w:vAlign w:val="center"/>
          </w:tcPr>
          <w:p>
            <w:pPr>
              <w:jc w:val="center"/>
              <w:rPr>
                <w:sz w:val="18"/>
                <w:szCs w:val="18"/>
              </w:rPr>
            </w:pPr>
            <w:r>
              <w:rPr>
                <w:rFonts w:hint="eastAsia"/>
                <w:sz w:val="18"/>
                <w:szCs w:val="18"/>
              </w:rPr>
              <w:t>基本支出</w:t>
            </w:r>
          </w:p>
        </w:tc>
        <w:tc>
          <w:tcPr>
            <w:tcW w:w="141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2551" w:type="dxa"/>
            <w:vMerge w:val="continue"/>
            <w:shd w:val="clear" w:color="auto" w:fill="auto"/>
            <w:vAlign w:val="center"/>
          </w:tcPr>
          <w:p>
            <w:pPr>
              <w:jc w:val="center"/>
              <w:rPr>
                <w:sz w:val="18"/>
                <w:szCs w:val="18"/>
              </w:rPr>
            </w:pPr>
          </w:p>
        </w:tc>
        <w:tc>
          <w:tcPr>
            <w:tcW w:w="1418" w:type="dxa"/>
            <w:vMerge w:val="continue"/>
            <w:shd w:val="clear" w:color="auto" w:fill="auto"/>
            <w:vAlign w:val="center"/>
          </w:tcPr>
          <w:p>
            <w:pPr>
              <w:jc w:val="center"/>
              <w:rPr>
                <w:sz w:val="18"/>
                <w:szCs w:val="18"/>
              </w:rPr>
            </w:pPr>
          </w:p>
        </w:tc>
        <w:tc>
          <w:tcPr>
            <w:tcW w:w="1417" w:type="dxa"/>
            <w:shd w:val="clear" w:color="auto" w:fill="auto"/>
            <w:vAlign w:val="center"/>
          </w:tcPr>
          <w:p>
            <w:pPr>
              <w:jc w:val="center"/>
              <w:rPr>
                <w:sz w:val="18"/>
                <w:szCs w:val="18"/>
              </w:rPr>
            </w:pPr>
            <w:r>
              <w:rPr>
                <w:rFonts w:hint="eastAsia"/>
                <w:sz w:val="18"/>
                <w:szCs w:val="18"/>
              </w:rPr>
              <w:t>人员经费</w:t>
            </w:r>
          </w:p>
        </w:tc>
        <w:tc>
          <w:tcPr>
            <w:tcW w:w="1418" w:type="dxa"/>
            <w:gridSpan w:val="2"/>
            <w:shd w:val="clear" w:color="auto" w:fill="auto"/>
            <w:vAlign w:val="center"/>
          </w:tcPr>
          <w:p>
            <w:pPr>
              <w:jc w:val="center"/>
              <w:rPr>
                <w:sz w:val="18"/>
                <w:szCs w:val="18"/>
              </w:rPr>
            </w:pPr>
            <w:r>
              <w:rPr>
                <w:rFonts w:hint="eastAsia"/>
                <w:sz w:val="18"/>
                <w:szCs w:val="18"/>
              </w:rPr>
              <w:t>公用经费</w:t>
            </w:r>
          </w:p>
        </w:tc>
        <w:tc>
          <w:tcPr>
            <w:tcW w:w="141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2551" w:type="dxa"/>
            <w:shd w:val="clear" w:color="auto" w:fill="auto"/>
            <w:vAlign w:val="center"/>
          </w:tcPr>
          <w:p>
            <w:pPr>
              <w:jc w:val="center"/>
              <w:rPr>
                <w:sz w:val="18"/>
                <w:szCs w:val="18"/>
              </w:rPr>
            </w:pPr>
            <w:r>
              <w:rPr>
                <w:rFonts w:hint="eastAsia"/>
                <w:color w:val="000000"/>
                <w:sz w:val="18"/>
                <w:szCs w:val="18"/>
              </w:rPr>
              <w:t>※</w:t>
            </w:r>
          </w:p>
        </w:tc>
        <w:tc>
          <w:tcPr>
            <w:tcW w:w="1418" w:type="dxa"/>
            <w:shd w:val="clear" w:color="auto" w:fill="auto"/>
            <w:vAlign w:val="center"/>
          </w:tcPr>
          <w:p>
            <w:pPr>
              <w:jc w:val="center"/>
              <w:rPr>
                <w:sz w:val="18"/>
                <w:szCs w:val="18"/>
              </w:rPr>
            </w:pPr>
            <w:r>
              <w:rPr>
                <w:rFonts w:hint="eastAsia"/>
                <w:sz w:val="18"/>
                <w:szCs w:val="18"/>
              </w:rPr>
              <w:t>1</w:t>
            </w:r>
          </w:p>
        </w:tc>
        <w:tc>
          <w:tcPr>
            <w:tcW w:w="1417" w:type="dxa"/>
            <w:shd w:val="clear" w:color="auto" w:fill="auto"/>
            <w:vAlign w:val="center"/>
          </w:tcPr>
          <w:p>
            <w:pPr>
              <w:jc w:val="center"/>
              <w:rPr>
                <w:sz w:val="18"/>
                <w:szCs w:val="18"/>
              </w:rPr>
            </w:pPr>
            <w:r>
              <w:rPr>
                <w:rFonts w:hint="eastAsia"/>
                <w:sz w:val="18"/>
                <w:szCs w:val="18"/>
              </w:rPr>
              <w:t>2</w:t>
            </w:r>
          </w:p>
        </w:tc>
        <w:tc>
          <w:tcPr>
            <w:tcW w:w="1418" w:type="dxa"/>
            <w:gridSpan w:val="2"/>
            <w:shd w:val="clear" w:color="auto" w:fill="auto"/>
            <w:vAlign w:val="center"/>
          </w:tcPr>
          <w:p>
            <w:pPr>
              <w:jc w:val="center"/>
              <w:rPr>
                <w:sz w:val="18"/>
                <w:szCs w:val="18"/>
              </w:rPr>
            </w:pPr>
            <w:r>
              <w:rPr>
                <w:rFonts w:hint="eastAsia"/>
                <w:sz w:val="18"/>
                <w:szCs w:val="18"/>
              </w:rPr>
              <w:t>3</w:t>
            </w:r>
          </w:p>
        </w:tc>
        <w:tc>
          <w:tcPr>
            <w:tcW w:w="1417" w:type="dxa"/>
            <w:shd w:val="clear" w:color="auto" w:fill="auto"/>
            <w:vAlign w:val="center"/>
          </w:tcPr>
          <w:p>
            <w:pPr>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皮山县机关事务服务中心2025年没有使用政府性基金预算拨款安排的支出，政府性基金预算支出情况表为空表。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表9</w:t>
      </w:r>
    </w:p>
    <w:p>
      <w:pPr>
        <w:jc w:val="center"/>
        <w:rPr>
          <w:rFonts w:hint="default" w:ascii="仿宋" w:hAnsi="宋体" w:eastAsia="仿宋"/>
          <w:b/>
          <w:color w:val="000000"/>
          <w:sz w:val="28"/>
          <w:szCs w:val="28"/>
        </w:rPr>
      </w:pPr>
      <w:r>
        <w:rPr>
          <w:rFonts w:hint="eastAsia" w:ascii="仿宋" w:hAnsi="宋体" w:eastAsia="仿宋"/>
          <w:b/>
          <w:color w:val="000000"/>
          <w:sz w:val="28"/>
          <w:szCs w:val="28"/>
        </w:rPr>
        <w:t>国有资本经营预算支出情况表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编制部门：皮山县机关事务服务中心</w:t>
            </w:r>
          </w:p>
        </w:tc>
        <w:tc>
          <w:tcPr>
            <w:tcW w:w="191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rPr>
            </w:pPr>
            <w:r>
              <w:rPr>
                <w:rFonts w:hint="eastAsia"/>
                <w:sz w:val="18"/>
                <w:szCs w:val="18"/>
              </w:rPr>
              <w:t>科目</w:t>
            </w:r>
          </w:p>
        </w:tc>
        <w:tc>
          <w:tcPr>
            <w:tcW w:w="5670" w:type="dxa"/>
            <w:gridSpan w:val="5"/>
            <w:shd w:val="clear" w:color="auto" w:fill="auto"/>
            <w:vAlign w:val="center"/>
          </w:tcPr>
          <w:p>
            <w:pPr>
              <w:jc w:val="center"/>
              <w:rPr>
                <w:sz w:val="18"/>
                <w:szCs w:val="18"/>
              </w:rPr>
            </w:pPr>
            <w:r>
              <w:rPr>
                <w:rFonts w:hint="eastAsia"/>
                <w:sz w:val="18"/>
                <w:szCs w:val="18"/>
              </w:rPr>
              <w:t>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2551" w:type="dxa"/>
            <w:vMerge w:val="restart"/>
            <w:shd w:val="clear" w:color="auto" w:fill="auto"/>
            <w:vAlign w:val="center"/>
          </w:tcPr>
          <w:p>
            <w:pPr>
              <w:jc w:val="center"/>
              <w:rPr>
                <w:sz w:val="18"/>
                <w:szCs w:val="18"/>
              </w:rPr>
            </w:pPr>
            <w:r>
              <w:rPr>
                <w:rFonts w:hint="eastAsia"/>
                <w:sz w:val="18"/>
                <w:szCs w:val="18"/>
              </w:rPr>
              <w:t>功能分类科目名称</w:t>
            </w:r>
          </w:p>
        </w:tc>
        <w:tc>
          <w:tcPr>
            <w:tcW w:w="1418" w:type="dxa"/>
            <w:vMerge w:val="restart"/>
            <w:shd w:val="clear" w:color="auto" w:fill="auto"/>
            <w:vAlign w:val="center"/>
          </w:tcPr>
          <w:p>
            <w:pPr>
              <w:jc w:val="center"/>
              <w:rPr>
                <w:sz w:val="18"/>
                <w:szCs w:val="18"/>
              </w:rPr>
            </w:pPr>
            <w:r>
              <w:rPr>
                <w:rFonts w:hint="eastAsia"/>
                <w:sz w:val="18"/>
                <w:szCs w:val="18"/>
              </w:rPr>
              <w:t>合计</w:t>
            </w:r>
          </w:p>
        </w:tc>
        <w:tc>
          <w:tcPr>
            <w:tcW w:w="2835" w:type="dxa"/>
            <w:gridSpan w:val="3"/>
            <w:shd w:val="clear" w:color="auto" w:fill="auto"/>
            <w:vAlign w:val="center"/>
          </w:tcPr>
          <w:p>
            <w:pPr>
              <w:jc w:val="center"/>
              <w:rPr>
                <w:sz w:val="18"/>
                <w:szCs w:val="18"/>
              </w:rPr>
            </w:pPr>
            <w:r>
              <w:rPr>
                <w:rFonts w:hint="eastAsia"/>
                <w:sz w:val="18"/>
                <w:szCs w:val="18"/>
              </w:rPr>
              <w:t>基本支出</w:t>
            </w:r>
          </w:p>
        </w:tc>
        <w:tc>
          <w:tcPr>
            <w:tcW w:w="141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2551" w:type="dxa"/>
            <w:vMerge w:val="continue"/>
            <w:shd w:val="clear" w:color="auto" w:fill="auto"/>
            <w:vAlign w:val="center"/>
          </w:tcPr>
          <w:p>
            <w:pPr>
              <w:jc w:val="center"/>
              <w:rPr>
                <w:sz w:val="18"/>
                <w:szCs w:val="18"/>
              </w:rPr>
            </w:pPr>
          </w:p>
        </w:tc>
        <w:tc>
          <w:tcPr>
            <w:tcW w:w="1418" w:type="dxa"/>
            <w:vMerge w:val="continue"/>
            <w:shd w:val="clear" w:color="auto" w:fill="auto"/>
            <w:vAlign w:val="center"/>
          </w:tcPr>
          <w:p>
            <w:pPr>
              <w:jc w:val="center"/>
              <w:rPr>
                <w:sz w:val="18"/>
                <w:szCs w:val="18"/>
              </w:rPr>
            </w:pPr>
          </w:p>
        </w:tc>
        <w:tc>
          <w:tcPr>
            <w:tcW w:w="1417" w:type="dxa"/>
            <w:shd w:val="clear" w:color="auto" w:fill="auto"/>
            <w:vAlign w:val="center"/>
          </w:tcPr>
          <w:p>
            <w:pPr>
              <w:jc w:val="center"/>
              <w:rPr>
                <w:sz w:val="18"/>
                <w:szCs w:val="18"/>
              </w:rPr>
            </w:pPr>
            <w:r>
              <w:rPr>
                <w:rFonts w:hint="eastAsia"/>
                <w:sz w:val="18"/>
                <w:szCs w:val="18"/>
              </w:rPr>
              <w:t>人员经费</w:t>
            </w:r>
          </w:p>
        </w:tc>
        <w:tc>
          <w:tcPr>
            <w:tcW w:w="1418" w:type="dxa"/>
            <w:gridSpan w:val="2"/>
            <w:shd w:val="clear" w:color="auto" w:fill="auto"/>
            <w:vAlign w:val="center"/>
          </w:tcPr>
          <w:p>
            <w:pPr>
              <w:jc w:val="center"/>
              <w:rPr>
                <w:sz w:val="18"/>
                <w:szCs w:val="18"/>
              </w:rPr>
            </w:pPr>
            <w:r>
              <w:rPr>
                <w:rFonts w:hint="eastAsia"/>
                <w:sz w:val="18"/>
                <w:szCs w:val="18"/>
              </w:rPr>
              <w:t>公用经费</w:t>
            </w:r>
          </w:p>
        </w:tc>
        <w:tc>
          <w:tcPr>
            <w:tcW w:w="141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2551" w:type="dxa"/>
            <w:shd w:val="clear" w:color="auto" w:fill="auto"/>
            <w:vAlign w:val="center"/>
          </w:tcPr>
          <w:p>
            <w:pPr>
              <w:jc w:val="center"/>
              <w:rPr>
                <w:sz w:val="18"/>
                <w:szCs w:val="18"/>
              </w:rPr>
            </w:pPr>
            <w:r>
              <w:rPr>
                <w:rFonts w:hint="eastAsia"/>
                <w:color w:val="000000"/>
                <w:sz w:val="18"/>
                <w:szCs w:val="18"/>
              </w:rPr>
              <w:t>※</w:t>
            </w:r>
          </w:p>
        </w:tc>
        <w:tc>
          <w:tcPr>
            <w:tcW w:w="1418" w:type="dxa"/>
            <w:shd w:val="clear" w:color="auto" w:fill="auto"/>
            <w:vAlign w:val="center"/>
          </w:tcPr>
          <w:p>
            <w:pPr>
              <w:jc w:val="center"/>
              <w:rPr>
                <w:sz w:val="18"/>
                <w:szCs w:val="18"/>
              </w:rPr>
            </w:pPr>
            <w:r>
              <w:rPr>
                <w:rFonts w:hint="eastAsia"/>
                <w:sz w:val="18"/>
                <w:szCs w:val="18"/>
              </w:rPr>
              <w:t>1</w:t>
            </w:r>
          </w:p>
        </w:tc>
        <w:tc>
          <w:tcPr>
            <w:tcW w:w="1417" w:type="dxa"/>
            <w:shd w:val="clear" w:color="auto" w:fill="auto"/>
            <w:vAlign w:val="center"/>
          </w:tcPr>
          <w:p>
            <w:pPr>
              <w:jc w:val="center"/>
              <w:rPr>
                <w:sz w:val="18"/>
                <w:szCs w:val="18"/>
              </w:rPr>
            </w:pPr>
            <w:r>
              <w:rPr>
                <w:rFonts w:hint="eastAsia"/>
                <w:sz w:val="18"/>
                <w:szCs w:val="18"/>
              </w:rPr>
              <w:t>2</w:t>
            </w:r>
          </w:p>
        </w:tc>
        <w:tc>
          <w:tcPr>
            <w:tcW w:w="1418" w:type="dxa"/>
            <w:gridSpan w:val="2"/>
            <w:shd w:val="clear" w:color="auto" w:fill="auto"/>
            <w:vAlign w:val="center"/>
          </w:tcPr>
          <w:p>
            <w:pPr>
              <w:jc w:val="center"/>
              <w:rPr>
                <w:sz w:val="18"/>
                <w:szCs w:val="18"/>
              </w:rPr>
            </w:pPr>
            <w:r>
              <w:rPr>
                <w:rFonts w:hint="eastAsia"/>
                <w:sz w:val="18"/>
                <w:szCs w:val="18"/>
              </w:rPr>
              <w:t>3</w:t>
            </w:r>
          </w:p>
        </w:tc>
        <w:tc>
          <w:tcPr>
            <w:tcW w:w="1417" w:type="dxa"/>
            <w:shd w:val="clear" w:color="auto" w:fill="auto"/>
            <w:vAlign w:val="center"/>
          </w:tcPr>
          <w:p>
            <w:pPr>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皮山县机关事务服务中心2025年没有使用国有资本经营预算拨款安排的支出，国有资本经营预算支出情况表为空表。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表10</w:t>
      </w:r>
    </w:p>
    <w:p>
      <w:pPr>
        <w:jc w:val="center"/>
        <w:rPr>
          <w:rFonts w:hint="default" w:ascii="仿宋" w:hAnsi="宋体" w:eastAsia="仿宋"/>
          <w:b/>
          <w:color w:val="000000"/>
          <w:sz w:val="28"/>
          <w:szCs w:val="28"/>
        </w:rPr>
      </w:pPr>
      <w:r>
        <w:rPr>
          <w:rFonts w:hint="eastAsia" w:ascii="仿宋" w:hAnsi="宋体" w:eastAsia="仿宋"/>
          <w:b/>
          <w:color w:val="000000"/>
          <w:sz w:val="28"/>
          <w:szCs w:val="28"/>
        </w:rPr>
        <w:t>财政拨款“三公”经费支出情况表</w:t>
      </w:r>
    </w:p>
    <w:tbl>
      <w:tblPr>
        <w:tblStyle w:val="8"/>
        <w:tblW w:w="11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4920"/>
        <w:gridCol w:w="1600"/>
        <w:gridCol w:w="1600"/>
        <w:gridCol w:w="16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9720" w:type="dxa"/>
            <w:gridSpan w:val="4"/>
            <w:tcBorders>
              <w:top w:val="nil"/>
              <w:left w:val="nil"/>
              <w:right w:val="nil"/>
            </w:tcBorders>
            <w:shd w:val="clear" w:color="auto" w:fill="auto"/>
            <w:vAlign w:val="center"/>
          </w:tcPr>
          <w:p>
            <w:pPr>
              <w:jc w:val="left"/>
              <w:rPr>
                <w:rFonts w:hint="default" w:ascii="宋体" w:hAnsi="宋体"/>
                <w:sz w:val="18"/>
                <w:szCs w:val="18"/>
              </w:rPr>
            </w:pPr>
            <w:r>
              <w:rPr>
                <w:rFonts w:hint="eastAsia"/>
                <w:color w:val="000000"/>
                <w:sz w:val="18"/>
                <w:szCs w:val="18"/>
              </w:rPr>
              <w:t>编制部门：皮山县机关事务服务中心</w:t>
            </w:r>
          </w:p>
        </w:tc>
        <w:tc>
          <w:tcPr>
            <w:tcW w:w="1600" w:type="dxa"/>
            <w:tcBorders>
              <w:top w:val="nil"/>
              <w:left w:val="nil"/>
              <w:right w:val="nil"/>
            </w:tcBorders>
            <w:shd w:val="clear" w:color="auto" w:fill="auto"/>
            <w:vAlign w:val="center"/>
          </w:tcPr>
          <w:p>
            <w:pPr>
              <w:jc w:val="right"/>
              <w:rPr>
                <w:rFonts w:hint="default" w:ascii="宋体" w:hAnsi="宋体"/>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4920" w:type="dxa"/>
            <w:vMerge w:val="restart"/>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“三公”经费支出内容</w:t>
            </w:r>
          </w:p>
        </w:tc>
        <w:tc>
          <w:tcPr>
            <w:tcW w:w="1600" w:type="dxa"/>
            <w:vMerge w:val="restart"/>
            <w:shd w:val="clear" w:color="auto" w:fill="auto"/>
            <w:vAlign w:val="center"/>
          </w:tcPr>
          <w:p>
            <w:pPr>
              <w:jc w:val="center"/>
              <w:rPr>
                <w:rFonts w:hint="default" w:ascii="宋体" w:hAnsi="宋体"/>
                <w:color w:val="000000"/>
                <w:sz w:val="18"/>
                <w:szCs w:val="18"/>
              </w:rPr>
            </w:pPr>
            <w:r>
              <w:rPr>
                <w:rFonts w:hint="eastAsia" w:ascii="宋体" w:hAnsi="宋体"/>
                <w:sz w:val="18"/>
                <w:szCs w:val="18"/>
              </w:rPr>
              <w:t>合计</w:t>
            </w:r>
          </w:p>
        </w:tc>
        <w:tc>
          <w:tcPr>
            <w:tcW w:w="4800" w:type="dxa"/>
            <w:gridSpan w:val="3"/>
            <w:shd w:val="clear" w:color="auto" w:fill="auto"/>
            <w:vAlign w:val="center"/>
          </w:tcPr>
          <w:p>
            <w:pPr>
              <w:jc w:val="center"/>
              <w:rPr>
                <w:rFonts w:hint="default" w:ascii="宋体" w:hAnsi="宋体"/>
                <w:color w:val="000000"/>
                <w:sz w:val="18"/>
                <w:szCs w:val="18"/>
              </w:rPr>
            </w:pPr>
            <w:r>
              <w:rPr>
                <w:rFonts w:hint="eastAsia"/>
                <w:sz w:val="18"/>
                <w:szCs w:val="18"/>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421" w:hRule="atLeast"/>
          <w:tblHeader/>
          <w:jc w:val="center"/>
        </w:trPr>
        <w:tc>
          <w:tcPr>
            <w:tcW w:w="4920" w:type="dxa"/>
            <w:vMerge w:val="continue"/>
            <w:shd w:val="clear" w:color="auto" w:fill="auto"/>
            <w:vAlign w:val="center"/>
          </w:tcPr>
          <w:p>
            <w:pPr>
              <w:jc w:val="center"/>
              <w:rPr>
                <w:rFonts w:hint="default" w:ascii="宋体" w:hAnsi="宋体"/>
                <w:color w:val="000000"/>
                <w:sz w:val="18"/>
                <w:szCs w:val="18"/>
              </w:rPr>
            </w:pPr>
          </w:p>
        </w:tc>
        <w:tc>
          <w:tcPr>
            <w:tcW w:w="1600" w:type="dxa"/>
            <w:vMerge w:val="continue"/>
            <w:shd w:val="clear" w:color="auto" w:fill="auto"/>
            <w:vAlign w:val="center"/>
          </w:tcPr>
          <w:p>
            <w:pPr>
              <w:jc w:val="center"/>
              <w:rPr>
                <w:rFonts w:hint="default" w:ascii="宋体" w:hAnsi="宋体"/>
                <w:color w:val="000000"/>
                <w:sz w:val="18"/>
                <w:szCs w:val="18"/>
              </w:rPr>
            </w:pPr>
          </w:p>
        </w:tc>
        <w:tc>
          <w:tcPr>
            <w:tcW w:w="1600" w:type="dxa"/>
            <w:shd w:val="clear" w:color="auto" w:fill="auto"/>
            <w:vAlign w:val="center"/>
          </w:tcPr>
          <w:p>
            <w:pPr>
              <w:jc w:val="center"/>
              <w:rPr>
                <w:rFonts w:hint="default" w:ascii="宋体" w:hAnsi="宋体"/>
                <w:sz w:val="18"/>
                <w:szCs w:val="18"/>
              </w:rPr>
            </w:pPr>
            <w:r>
              <w:rPr>
                <w:rFonts w:hint="eastAsia" w:ascii="宋体" w:hAnsi="宋体"/>
                <w:sz w:val="18"/>
                <w:szCs w:val="18"/>
              </w:rPr>
              <w:t>一般公共预算</w:t>
            </w:r>
          </w:p>
        </w:tc>
        <w:tc>
          <w:tcPr>
            <w:tcW w:w="1600" w:type="dxa"/>
            <w:shd w:val="clear" w:color="auto" w:fill="auto"/>
            <w:vAlign w:val="center"/>
          </w:tcPr>
          <w:p>
            <w:pPr>
              <w:jc w:val="center"/>
              <w:rPr>
                <w:rFonts w:hint="default" w:ascii="宋体" w:hAnsi="宋体"/>
                <w:sz w:val="18"/>
                <w:szCs w:val="18"/>
              </w:rPr>
            </w:pPr>
            <w:r>
              <w:rPr>
                <w:rFonts w:hint="eastAsia" w:ascii="宋体" w:hAnsi="宋体"/>
                <w:sz w:val="18"/>
                <w:szCs w:val="18"/>
              </w:rPr>
              <w:t>政府性基金</w:t>
            </w:r>
          </w:p>
        </w:tc>
        <w:tc>
          <w:tcPr>
            <w:tcW w:w="1600" w:type="dxa"/>
            <w:shd w:val="clear" w:color="auto" w:fill="auto"/>
            <w:vAlign w:val="center"/>
          </w:tcPr>
          <w:p>
            <w:pPr>
              <w:jc w:val="center"/>
              <w:rPr>
                <w:rFonts w:hint="default" w:ascii="宋体" w:hAnsi="宋体"/>
                <w:sz w:val="18"/>
                <w:szCs w:val="18"/>
              </w:rPr>
            </w:pPr>
            <w:r>
              <w:rPr>
                <w:rFonts w:hint="eastAsia" w:ascii="宋体" w:hAnsi="宋体"/>
                <w:sz w:val="18"/>
                <w:szCs w:val="18"/>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jc w:val="center"/>
        </w:trPr>
        <w:tc>
          <w:tcPr>
            <w:tcW w:w="4920" w:type="dxa"/>
            <w:shd w:val="clear" w:color="auto" w:fill="auto"/>
            <w:vAlign w:val="center"/>
          </w:tcPr>
          <w:p>
            <w:pPr>
              <w:jc w:val="center"/>
              <w:rPr>
                <w:rFonts w:hint="default" w:ascii="宋体" w:hAnsi="宋体"/>
                <w:color w:val="000000"/>
                <w:sz w:val="18"/>
                <w:szCs w:val="18"/>
              </w:rPr>
            </w:pPr>
            <w:r>
              <w:rPr>
                <w:rFonts w:hint="eastAsia"/>
                <w:color w:val="000000"/>
                <w:sz w:val="18"/>
                <w:szCs w:val="18"/>
              </w:rPr>
              <w:t>※</w:t>
            </w:r>
          </w:p>
        </w:tc>
        <w:tc>
          <w:tcPr>
            <w:tcW w:w="1600"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1</w:t>
            </w:r>
          </w:p>
        </w:tc>
        <w:tc>
          <w:tcPr>
            <w:tcW w:w="1600"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2</w:t>
            </w:r>
          </w:p>
        </w:tc>
        <w:tc>
          <w:tcPr>
            <w:tcW w:w="1600"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3</w:t>
            </w:r>
          </w:p>
        </w:tc>
        <w:tc>
          <w:tcPr>
            <w:tcW w:w="1600"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b/>
                <w:kern w:val="0"/>
                <w:sz w:val="18"/>
                <w:szCs w:val="18"/>
              </w:rPr>
              <w:t>合计</w:t>
            </w:r>
          </w:p>
        </w:tc>
        <w:tc>
          <w:tcPr>
            <w:tcW w:w="1600" w:type="dxa"/>
            <w:shd w:val="clear" w:color="auto" w:fill="auto"/>
            <w:vAlign w:val="center"/>
          </w:tcPr>
          <w:p>
            <w:pPr>
              <w:jc w:val="right"/>
              <w:rPr>
                <w:rFonts w:hint="default" w:ascii="宋体" w:hAnsi="宋体"/>
                <w:color w:val="000000"/>
                <w:sz w:val="18"/>
                <w:szCs w:val="18"/>
              </w:rPr>
            </w:pPr>
            <w:r>
              <w:rPr>
                <w:rFonts w:hint="default" w:ascii="宋体" w:hAnsi="宋体"/>
                <w:b/>
                <w:kern w:val="0"/>
                <w:sz w:val="18"/>
                <w:szCs w:val="18"/>
              </w:rPr>
              <w:t>305.00</w:t>
            </w:r>
          </w:p>
        </w:tc>
        <w:tc>
          <w:tcPr>
            <w:tcW w:w="1600" w:type="dxa"/>
            <w:shd w:val="clear" w:color="auto" w:fill="auto"/>
            <w:vAlign w:val="center"/>
          </w:tcPr>
          <w:p>
            <w:pPr>
              <w:jc w:val="right"/>
              <w:rPr>
                <w:rFonts w:hint="default" w:ascii="宋体" w:hAnsi="宋体"/>
                <w:color w:val="000000"/>
                <w:sz w:val="18"/>
                <w:szCs w:val="18"/>
              </w:rPr>
            </w:pPr>
            <w:r>
              <w:rPr>
                <w:rFonts w:hint="default" w:ascii="宋体" w:hAnsi="宋体"/>
                <w:b/>
                <w:kern w:val="0"/>
                <w:sz w:val="18"/>
                <w:szCs w:val="18"/>
              </w:rPr>
              <w:t>305.00</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因公出国（境）费</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公务接待费</w:t>
            </w:r>
          </w:p>
        </w:tc>
        <w:tc>
          <w:tcPr>
            <w:tcW w:w="1600" w:type="dxa"/>
            <w:shd w:val="clear" w:color="auto" w:fill="auto"/>
            <w:vAlign w:val="center"/>
          </w:tcPr>
          <w:p>
            <w:pPr>
              <w:jc w:val="right"/>
              <w:rPr>
                <w:rFonts w:hint="default" w:ascii="宋体" w:hAnsi="宋体"/>
                <w:color w:val="000000"/>
                <w:sz w:val="18"/>
                <w:szCs w:val="18"/>
              </w:rPr>
            </w:pPr>
            <w:r>
              <w:rPr>
                <w:rFonts w:hint="default" w:ascii="宋体" w:hAnsi="宋体"/>
                <w:kern w:val="0"/>
                <w:sz w:val="18"/>
                <w:szCs w:val="18"/>
              </w:rPr>
              <w:t>277.00</w:t>
            </w:r>
          </w:p>
        </w:tc>
        <w:tc>
          <w:tcPr>
            <w:tcW w:w="1600" w:type="dxa"/>
            <w:shd w:val="clear" w:color="auto" w:fill="auto"/>
            <w:vAlign w:val="center"/>
          </w:tcPr>
          <w:p>
            <w:pPr>
              <w:jc w:val="right"/>
              <w:rPr>
                <w:rFonts w:hint="default" w:ascii="宋体" w:hAnsi="宋体"/>
                <w:color w:val="000000"/>
                <w:sz w:val="18"/>
                <w:szCs w:val="18"/>
              </w:rPr>
            </w:pPr>
            <w:r>
              <w:rPr>
                <w:rFonts w:hint="default" w:ascii="宋体" w:hAnsi="宋体"/>
                <w:kern w:val="0"/>
                <w:sz w:val="18"/>
                <w:szCs w:val="18"/>
              </w:rPr>
              <w:t>277.00</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b/>
                <w:kern w:val="0"/>
                <w:sz w:val="18"/>
                <w:szCs w:val="18"/>
              </w:rPr>
              <w:t>公务用车购置及运行费（小计）</w:t>
            </w:r>
          </w:p>
        </w:tc>
        <w:tc>
          <w:tcPr>
            <w:tcW w:w="1600" w:type="dxa"/>
            <w:shd w:val="clear" w:color="auto" w:fill="auto"/>
            <w:vAlign w:val="center"/>
          </w:tcPr>
          <w:p>
            <w:pPr>
              <w:jc w:val="right"/>
              <w:rPr>
                <w:rFonts w:hint="default" w:ascii="宋体" w:hAnsi="宋体"/>
                <w:color w:val="000000"/>
                <w:sz w:val="18"/>
                <w:szCs w:val="18"/>
              </w:rPr>
            </w:pPr>
            <w:r>
              <w:rPr>
                <w:rFonts w:hint="default" w:ascii="宋体" w:hAnsi="宋体"/>
                <w:b/>
                <w:kern w:val="0"/>
                <w:sz w:val="18"/>
                <w:szCs w:val="18"/>
              </w:rPr>
              <w:t>28.00</w:t>
            </w:r>
          </w:p>
        </w:tc>
        <w:tc>
          <w:tcPr>
            <w:tcW w:w="1600" w:type="dxa"/>
            <w:shd w:val="clear" w:color="auto" w:fill="auto"/>
            <w:vAlign w:val="center"/>
          </w:tcPr>
          <w:p>
            <w:pPr>
              <w:jc w:val="right"/>
              <w:rPr>
                <w:rFonts w:hint="default" w:ascii="宋体" w:hAnsi="宋体"/>
                <w:color w:val="000000"/>
                <w:sz w:val="18"/>
                <w:szCs w:val="18"/>
              </w:rPr>
            </w:pPr>
            <w:r>
              <w:rPr>
                <w:rFonts w:hint="default" w:ascii="宋体" w:hAnsi="宋体"/>
                <w:b/>
                <w:kern w:val="0"/>
                <w:sz w:val="18"/>
                <w:szCs w:val="18"/>
              </w:rPr>
              <w:t>28.00</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其中：公务用车购置费</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 xml:space="preserve">      公务用车运行费</w:t>
            </w:r>
          </w:p>
        </w:tc>
        <w:tc>
          <w:tcPr>
            <w:tcW w:w="1600" w:type="dxa"/>
            <w:shd w:val="clear" w:color="auto" w:fill="auto"/>
            <w:vAlign w:val="center"/>
          </w:tcPr>
          <w:p>
            <w:pPr>
              <w:jc w:val="right"/>
              <w:rPr>
                <w:rFonts w:hint="default" w:ascii="宋体" w:hAnsi="宋体"/>
                <w:color w:val="000000"/>
                <w:sz w:val="18"/>
                <w:szCs w:val="18"/>
              </w:rPr>
            </w:pPr>
            <w:r>
              <w:rPr>
                <w:rFonts w:hint="default" w:ascii="宋体" w:hAnsi="宋体"/>
                <w:kern w:val="0"/>
                <w:sz w:val="18"/>
                <w:szCs w:val="18"/>
              </w:rPr>
              <w:t>28.00</w:t>
            </w:r>
          </w:p>
        </w:tc>
        <w:tc>
          <w:tcPr>
            <w:tcW w:w="1600" w:type="dxa"/>
            <w:shd w:val="clear" w:color="auto" w:fill="auto"/>
            <w:vAlign w:val="center"/>
          </w:tcPr>
          <w:p>
            <w:pPr>
              <w:jc w:val="right"/>
              <w:rPr>
                <w:rFonts w:hint="default" w:ascii="宋体" w:hAnsi="宋体"/>
                <w:color w:val="000000"/>
                <w:sz w:val="18"/>
                <w:szCs w:val="18"/>
              </w:rPr>
            </w:pPr>
            <w:r>
              <w:rPr>
                <w:rFonts w:hint="default" w:ascii="宋体" w:hAnsi="宋体"/>
                <w:kern w:val="0"/>
                <w:sz w:val="18"/>
                <w:szCs w:val="18"/>
              </w:rPr>
              <w:t>28.00</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表11</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上年结转结余情况明细表</w:t>
      </w:r>
    </w:p>
    <w:tbl>
      <w:tblPr>
        <w:tblStyle w:val="8"/>
        <w:tblW w:w="14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402"/>
        <w:gridCol w:w="1247"/>
        <w:gridCol w:w="1247"/>
        <w:gridCol w:w="1247"/>
        <w:gridCol w:w="1247"/>
        <w:gridCol w:w="1247"/>
        <w:gridCol w:w="740"/>
        <w:gridCol w:w="507"/>
        <w:gridCol w:w="1247"/>
        <w:gridCol w:w="1247"/>
        <w:gridCol w:w="124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0377" w:type="dxa"/>
            <w:gridSpan w:val="7"/>
            <w:tcBorders>
              <w:top w:val="nil"/>
              <w:left w:val="nil"/>
              <w:right w:val="nil"/>
            </w:tcBorders>
            <w:shd w:val="clear" w:color="auto" w:fill="auto"/>
            <w:vAlign w:val="center"/>
          </w:tcPr>
          <w:p>
            <w:pPr>
              <w:jc w:val="left"/>
              <w:rPr>
                <w:rFonts w:hint="eastAsia"/>
                <w:color w:val="000000"/>
                <w:sz w:val="18"/>
                <w:szCs w:val="18"/>
              </w:rPr>
            </w:pPr>
            <w:r>
              <w:rPr>
                <w:rFonts w:hint="eastAsia"/>
                <w:color w:val="000000"/>
                <w:sz w:val="18"/>
                <w:szCs w:val="18"/>
              </w:rPr>
              <w:t>编制部门：皮山县机关事务服务中心</w:t>
            </w:r>
          </w:p>
        </w:tc>
        <w:tc>
          <w:tcPr>
            <w:tcW w:w="4254" w:type="dxa"/>
            <w:gridSpan w:val="5"/>
            <w:tcBorders>
              <w:top w:val="nil"/>
              <w:left w:val="nil"/>
              <w:right w:val="nil"/>
            </w:tcBorders>
            <w:shd w:val="clear" w:color="auto" w:fill="auto"/>
          </w:tcPr>
          <w:p>
            <w:pPr>
              <w:jc w:val="right"/>
              <w:rPr>
                <w:rFonts w:hint="eastAsia"/>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20" w:hRule="atLeast"/>
          <w:tblHeader/>
        </w:trPr>
        <w:tc>
          <w:tcPr>
            <w:tcW w:w="3402" w:type="dxa"/>
            <w:vMerge w:val="restart"/>
            <w:shd w:val="clear" w:color="auto" w:fill="auto"/>
            <w:vAlign w:val="center"/>
          </w:tcPr>
          <w:p>
            <w:pPr>
              <w:jc w:val="center"/>
              <w:rPr>
                <w:sz w:val="18"/>
                <w:szCs w:val="18"/>
              </w:rPr>
            </w:pPr>
            <w:r>
              <w:rPr>
                <w:rFonts w:hint="eastAsia"/>
                <w:sz w:val="18"/>
                <w:szCs w:val="18"/>
              </w:rPr>
              <w:t>项目</w:t>
            </w:r>
          </w:p>
        </w:tc>
        <w:tc>
          <w:tcPr>
            <w:tcW w:w="1247" w:type="dxa"/>
            <w:vMerge w:val="restart"/>
            <w:shd w:val="clear" w:color="auto" w:fill="auto"/>
            <w:vAlign w:val="center"/>
          </w:tcPr>
          <w:p>
            <w:pPr>
              <w:jc w:val="center"/>
              <w:rPr>
                <w:sz w:val="18"/>
                <w:szCs w:val="18"/>
              </w:rPr>
            </w:pPr>
            <w:r>
              <w:rPr>
                <w:rFonts w:hint="eastAsia"/>
                <w:sz w:val="18"/>
                <w:szCs w:val="18"/>
              </w:rPr>
              <w:t>合计</w:t>
            </w:r>
          </w:p>
        </w:tc>
        <w:tc>
          <w:tcPr>
            <w:tcW w:w="4988" w:type="dxa"/>
            <w:gridSpan w:val="4"/>
            <w:shd w:val="clear" w:color="auto" w:fill="auto"/>
            <w:vAlign w:val="center"/>
          </w:tcPr>
          <w:p>
            <w:pPr>
              <w:jc w:val="center"/>
              <w:rPr>
                <w:rFonts w:hint="eastAsia"/>
                <w:sz w:val="18"/>
                <w:szCs w:val="18"/>
              </w:rPr>
            </w:pPr>
            <w:r>
              <w:rPr>
                <w:rFonts w:hint="eastAsia"/>
                <w:sz w:val="18"/>
                <w:szCs w:val="18"/>
              </w:rPr>
              <w:t>财政拨款</w:t>
            </w:r>
          </w:p>
        </w:tc>
        <w:tc>
          <w:tcPr>
            <w:tcW w:w="4988" w:type="dxa"/>
            <w:gridSpan w:val="5"/>
            <w:shd w:val="clear" w:color="auto" w:fill="auto"/>
            <w:vAlign w:val="center"/>
          </w:tcPr>
          <w:p>
            <w:pPr>
              <w:jc w:val="center"/>
              <w:rPr>
                <w:rFonts w:hint="eastAsia"/>
                <w:sz w:val="18"/>
                <w:szCs w:val="18"/>
              </w:rPr>
            </w:pPr>
            <w:r>
              <w:rPr>
                <w:rFonts w:hint="eastAsia"/>
                <w:sz w:val="18"/>
                <w:szCs w:val="18"/>
              </w:rPr>
              <w:t>非财政拨款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vMerge w:val="restart"/>
            <w:shd w:val="clear" w:color="auto" w:fill="auto"/>
            <w:vAlign w:val="center"/>
          </w:tcPr>
          <w:p>
            <w:pPr>
              <w:jc w:val="center"/>
              <w:rPr>
                <w:sz w:val="18"/>
                <w:szCs w:val="18"/>
              </w:rPr>
            </w:pPr>
            <w:r>
              <w:rPr>
                <w:rFonts w:hint="eastAsia"/>
                <w:sz w:val="18"/>
                <w:szCs w:val="18"/>
              </w:rPr>
              <w:t>小计</w:t>
            </w:r>
          </w:p>
        </w:tc>
        <w:tc>
          <w:tcPr>
            <w:tcW w:w="2494" w:type="dxa"/>
            <w:gridSpan w:val="2"/>
            <w:shd w:val="clear" w:color="auto" w:fill="auto"/>
            <w:vAlign w:val="center"/>
          </w:tcPr>
          <w:p>
            <w:pPr>
              <w:jc w:val="center"/>
              <w:rPr>
                <w:sz w:val="18"/>
                <w:szCs w:val="18"/>
              </w:rPr>
            </w:pPr>
            <w:r>
              <w:rPr>
                <w:rFonts w:hint="eastAsia"/>
                <w:sz w:val="18"/>
                <w:szCs w:val="18"/>
              </w:rPr>
              <w:t>基本支出</w:t>
            </w:r>
          </w:p>
        </w:tc>
        <w:tc>
          <w:tcPr>
            <w:tcW w:w="1247" w:type="dxa"/>
            <w:vMerge w:val="restart"/>
            <w:shd w:val="clear" w:color="auto" w:fill="auto"/>
            <w:vAlign w:val="center"/>
          </w:tcPr>
          <w:p>
            <w:pPr>
              <w:jc w:val="center"/>
              <w:rPr>
                <w:sz w:val="18"/>
                <w:szCs w:val="18"/>
              </w:rPr>
            </w:pPr>
            <w:r>
              <w:rPr>
                <w:rFonts w:hint="eastAsia"/>
                <w:sz w:val="18"/>
                <w:szCs w:val="18"/>
              </w:rPr>
              <w:t>项目支出</w:t>
            </w:r>
          </w:p>
        </w:tc>
        <w:tc>
          <w:tcPr>
            <w:tcW w:w="1247" w:type="dxa"/>
            <w:gridSpan w:val="2"/>
            <w:vMerge w:val="restart"/>
            <w:shd w:val="clear" w:color="auto" w:fill="auto"/>
            <w:vAlign w:val="center"/>
          </w:tcPr>
          <w:p>
            <w:pPr>
              <w:jc w:val="center"/>
              <w:rPr>
                <w:sz w:val="18"/>
                <w:szCs w:val="18"/>
              </w:rPr>
            </w:pPr>
            <w:r>
              <w:rPr>
                <w:rFonts w:hint="eastAsia"/>
                <w:sz w:val="18"/>
                <w:szCs w:val="18"/>
              </w:rPr>
              <w:t>小计</w:t>
            </w:r>
          </w:p>
        </w:tc>
        <w:tc>
          <w:tcPr>
            <w:tcW w:w="2494" w:type="dxa"/>
            <w:gridSpan w:val="2"/>
            <w:shd w:val="clear" w:color="auto" w:fill="auto"/>
            <w:vAlign w:val="center"/>
          </w:tcPr>
          <w:p>
            <w:pPr>
              <w:jc w:val="center"/>
              <w:rPr>
                <w:sz w:val="18"/>
                <w:szCs w:val="18"/>
              </w:rPr>
            </w:pPr>
            <w:r>
              <w:rPr>
                <w:rFonts w:hint="eastAsia"/>
                <w:sz w:val="18"/>
                <w:szCs w:val="18"/>
              </w:rPr>
              <w:t>基本支出</w:t>
            </w:r>
          </w:p>
        </w:tc>
        <w:tc>
          <w:tcPr>
            <w:tcW w:w="124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shd w:val="clear" w:color="auto" w:fill="auto"/>
            <w:vAlign w:val="center"/>
          </w:tcPr>
          <w:p>
            <w:pPr>
              <w:jc w:val="center"/>
              <w:rPr>
                <w:sz w:val="18"/>
                <w:szCs w:val="18"/>
              </w:rPr>
            </w:pPr>
            <w:r>
              <w:rPr>
                <w:rFonts w:hint="eastAsia"/>
                <w:sz w:val="18"/>
                <w:szCs w:val="18"/>
              </w:rPr>
              <w:t>人员经费</w:t>
            </w:r>
          </w:p>
        </w:tc>
        <w:tc>
          <w:tcPr>
            <w:tcW w:w="1247" w:type="dxa"/>
            <w:shd w:val="clear" w:color="auto" w:fill="auto"/>
            <w:vAlign w:val="center"/>
          </w:tcPr>
          <w:p>
            <w:pPr>
              <w:jc w:val="center"/>
              <w:rPr>
                <w:sz w:val="18"/>
                <w:szCs w:val="18"/>
              </w:rPr>
            </w:pPr>
            <w:r>
              <w:rPr>
                <w:rFonts w:hint="eastAsia"/>
                <w:sz w:val="18"/>
                <w:szCs w:val="18"/>
              </w:rPr>
              <w:t>公用经费</w:t>
            </w:r>
          </w:p>
        </w:tc>
        <w:tc>
          <w:tcPr>
            <w:tcW w:w="1247" w:type="dxa"/>
            <w:vMerge w:val="continue"/>
            <w:shd w:val="clear" w:color="auto" w:fill="auto"/>
            <w:vAlign w:val="center"/>
          </w:tcPr>
          <w:p>
            <w:pPr>
              <w:jc w:val="center"/>
              <w:rPr>
                <w:sz w:val="18"/>
                <w:szCs w:val="18"/>
              </w:rPr>
            </w:pPr>
          </w:p>
        </w:tc>
        <w:tc>
          <w:tcPr>
            <w:tcW w:w="1247" w:type="dxa"/>
            <w:gridSpan w:val="2"/>
            <w:vMerge w:val="continue"/>
            <w:shd w:val="clear" w:color="auto" w:fill="auto"/>
            <w:vAlign w:val="center"/>
          </w:tcPr>
          <w:p>
            <w:pPr>
              <w:jc w:val="center"/>
              <w:rPr>
                <w:sz w:val="18"/>
                <w:szCs w:val="18"/>
              </w:rPr>
            </w:pPr>
          </w:p>
        </w:tc>
        <w:tc>
          <w:tcPr>
            <w:tcW w:w="1247" w:type="dxa"/>
            <w:shd w:val="clear" w:color="auto" w:fill="auto"/>
            <w:vAlign w:val="center"/>
          </w:tcPr>
          <w:p>
            <w:pPr>
              <w:jc w:val="center"/>
              <w:rPr>
                <w:sz w:val="18"/>
                <w:szCs w:val="18"/>
              </w:rPr>
            </w:pPr>
            <w:r>
              <w:rPr>
                <w:rFonts w:hint="eastAsia"/>
                <w:sz w:val="18"/>
                <w:szCs w:val="18"/>
              </w:rPr>
              <w:t>人员经费</w:t>
            </w:r>
          </w:p>
        </w:tc>
        <w:tc>
          <w:tcPr>
            <w:tcW w:w="1247" w:type="dxa"/>
            <w:shd w:val="clear" w:color="auto" w:fill="auto"/>
            <w:vAlign w:val="center"/>
          </w:tcPr>
          <w:p>
            <w:pPr>
              <w:jc w:val="center"/>
              <w:rPr>
                <w:sz w:val="18"/>
                <w:szCs w:val="18"/>
              </w:rPr>
            </w:pPr>
            <w:r>
              <w:rPr>
                <w:rFonts w:hint="eastAsia"/>
                <w:sz w:val="18"/>
                <w:szCs w:val="18"/>
              </w:rPr>
              <w:t>公用经费</w:t>
            </w:r>
          </w:p>
        </w:tc>
        <w:tc>
          <w:tcPr>
            <w:tcW w:w="124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64" w:hRule="atLeast"/>
          <w:tblHeader/>
        </w:trPr>
        <w:tc>
          <w:tcPr>
            <w:tcW w:w="3402" w:type="dxa"/>
            <w:shd w:val="clear" w:color="auto" w:fill="auto"/>
            <w:vAlign w:val="center"/>
          </w:tcPr>
          <w:p>
            <w:pPr>
              <w:jc w:val="center"/>
              <w:rPr>
                <w:sz w:val="18"/>
                <w:szCs w:val="18"/>
              </w:rPr>
            </w:pPr>
            <w:r>
              <w:rPr>
                <w:rFonts w:hint="eastAsia"/>
                <w:color w:val="000000"/>
                <w:sz w:val="18"/>
                <w:szCs w:val="18"/>
              </w:rPr>
              <w:t>※</w:t>
            </w:r>
          </w:p>
        </w:tc>
        <w:tc>
          <w:tcPr>
            <w:tcW w:w="1247" w:type="dxa"/>
            <w:shd w:val="clear" w:color="auto" w:fill="auto"/>
            <w:vAlign w:val="center"/>
          </w:tcPr>
          <w:p>
            <w:pPr>
              <w:jc w:val="center"/>
              <w:rPr>
                <w:sz w:val="18"/>
                <w:szCs w:val="18"/>
              </w:rPr>
            </w:pPr>
            <w:r>
              <w:rPr>
                <w:rFonts w:hint="eastAsia"/>
                <w:sz w:val="18"/>
                <w:szCs w:val="18"/>
              </w:rPr>
              <w:t>1</w:t>
            </w:r>
          </w:p>
        </w:tc>
        <w:tc>
          <w:tcPr>
            <w:tcW w:w="1247" w:type="dxa"/>
            <w:shd w:val="clear" w:color="auto" w:fill="auto"/>
            <w:vAlign w:val="center"/>
          </w:tcPr>
          <w:p>
            <w:pPr>
              <w:jc w:val="center"/>
              <w:rPr>
                <w:rFonts w:hint="eastAsia"/>
                <w:sz w:val="18"/>
                <w:szCs w:val="18"/>
              </w:rPr>
            </w:pPr>
            <w:r>
              <w:rPr>
                <w:rFonts w:hint="eastAsia"/>
                <w:sz w:val="18"/>
                <w:szCs w:val="18"/>
              </w:rPr>
              <w:t>2</w:t>
            </w:r>
          </w:p>
        </w:tc>
        <w:tc>
          <w:tcPr>
            <w:tcW w:w="1247" w:type="dxa"/>
            <w:shd w:val="clear" w:color="auto" w:fill="auto"/>
            <w:vAlign w:val="center"/>
          </w:tcPr>
          <w:p>
            <w:pPr>
              <w:jc w:val="center"/>
              <w:rPr>
                <w:rFonts w:hint="eastAsia"/>
                <w:sz w:val="18"/>
                <w:szCs w:val="18"/>
              </w:rPr>
            </w:pPr>
            <w:r>
              <w:rPr>
                <w:rFonts w:hint="eastAsia"/>
                <w:sz w:val="18"/>
                <w:szCs w:val="18"/>
              </w:rPr>
              <w:t>3</w:t>
            </w:r>
          </w:p>
        </w:tc>
        <w:tc>
          <w:tcPr>
            <w:tcW w:w="1247" w:type="dxa"/>
            <w:shd w:val="clear" w:color="auto" w:fill="auto"/>
            <w:vAlign w:val="center"/>
          </w:tcPr>
          <w:p>
            <w:pPr>
              <w:jc w:val="center"/>
              <w:rPr>
                <w:rFonts w:hint="eastAsia"/>
                <w:sz w:val="18"/>
                <w:szCs w:val="18"/>
              </w:rPr>
            </w:pPr>
            <w:r>
              <w:rPr>
                <w:rFonts w:hint="eastAsia"/>
                <w:sz w:val="18"/>
                <w:szCs w:val="18"/>
              </w:rPr>
              <w:t>4</w:t>
            </w:r>
          </w:p>
        </w:tc>
        <w:tc>
          <w:tcPr>
            <w:tcW w:w="1247" w:type="dxa"/>
            <w:shd w:val="clear" w:color="auto" w:fill="auto"/>
            <w:vAlign w:val="center"/>
          </w:tcPr>
          <w:p>
            <w:pPr>
              <w:jc w:val="center"/>
              <w:rPr>
                <w:rFonts w:hint="eastAsia"/>
                <w:sz w:val="18"/>
                <w:szCs w:val="18"/>
              </w:rPr>
            </w:pPr>
            <w:r>
              <w:rPr>
                <w:rFonts w:hint="eastAsia"/>
                <w:sz w:val="18"/>
                <w:szCs w:val="18"/>
              </w:rPr>
              <w:t>5</w:t>
            </w:r>
          </w:p>
        </w:tc>
        <w:tc>
          <w:tcPr>
            <w:tcW w:w="1247" w:type="dxa"/>
            <w:gridSpan w:val="2"/>
            <w:shd w:val="clear" w:color="auto" w:fill="auto"/>
            <w:vAlign w:val="center"/>
          </w:tcPr>
          <w:p>
            <w:pPr>
              <w:jc w:val="center"/>
              <w:rPr>
                <w:rFonts w:hint="eastAsia"/>
                <w:sz w:val="18"/>
                <w:szCs w:val="18"/>
              </w:rPr>
            </w:pPr>
            <w:r>
              <w:rPr>
                <w:rFonts w:hint="eastAsia"/>
                <w:sz w:val="18"/>
                <w:szCs w:val="18"/>
              </w:rPr>
              <w:t>6</w:t>
            </w:r>
          </w:p>
        </w:tc>
        <w:tc>
          <w:tcPr>
            <w:tcW w:w="1247" w:type="dxa"/>
            <w:shd w:val="clear" w:color="auto" w:fill="auto"/>
            <w:vAlign w:val="center"/>
          </w:tcPr>
          <w:p>
            <w:pPr>
              <w:jc w:val="center"/>
              <w:rPr>
                <w:rFonts w:hint="eastAsia"/>
                <w:sz w:val="18"/>
                <w:szCs w:val="18"/>
              </w:rPr>
            </w:pPr>
            <w:r>
              <w:rPr>
                <w:rFonts w:hint="eastAsia"/>
                <w:sz w:val="18"/>
                <w:szCs w:val="18"/>
              </w:rPr>
              <w:t>7</w:t>
            </w:r>
          </w:p>
        </w:tc>
        <w:tc>
          <w:tcPr>
            <w:tcW w:w="1247" w:type="dxa"/>
            <w:shd w:val="clear" w:color="auto" w:fill="auto"/>
            <w:vAlign w:val="center"/>
          </w:tcPr>
          <w:p>
            <w:pPr>
              <w:jc w:val="center"/>
              <w:rPr>
                <w:rFonts w:hint="eastAsia"/>
                <w:sz w:val="18"/>
                <w:szCs w:val="18"/>
              </w:rPr>
            </w:pPr>
            <w:r>
              <w:rPr>
                <w:rFonts w:hint="eastAsia"/>
                <w:sz w:val="18"/>
                <w:szCs w:val="18"/>
              </w:rPr>
              <w:t>8</w:t>
            </w:r>
          </w:p>
        </w:tc>
        <w:tc>
          <w:tcPr>
            <w:tcW w:w="1247" w:type="dxa"/>
            <w:shd w:val="clear" w:color="auto" w:fill="auto"/>
            <w:vAlign w:val="center"/>
          </w:tcPr>
          <w:p>
            <w:pPr>
              <w:jc w:val="center"/>
              <w:rPr>
                <w:rFonts w:hint="eastAsia"/>
                <w:sz w:val="18"/>
                <w:szCs w:val="18"/>
              </w:rPr>
            </w:pPr>
            <w:r>
              <w:rPr>
                <w:rFonts w:hint="eastAsia"/>
                <w:sz w:val="18"/>
                <w:szCs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r>
        <w:rPr>
          <w:rFonts w:hint="eastAsia" w:ascii="仿宋" w:eastAsia="仿宋"/>
          <w:b/>
          <w:color w:val="000000"/>
          <w:szCs w:val="21"/>
        </w:rPr>
        <w:t>皮山县机关事务服务中心2025年没有上年结转结余预算安排的支出，上年结转结余情况明细表为空表。</w:t>
      </w:r>
    </w:p>
    <w:p>
      <w:pPr>
        <w:pStyle w:val="2"/>
        <w:spacing w:before="156" w:beforeLines="50" w:after="156" w:afterLines="50" w:line="240" w:lineRule="atLeast"/>
        <w:jc w:val="center"/>
        <w:rPr>
          <w:rFonts w:hint="default" w:ascii="黑体" w:eastAsia="黑体"/>
          <w:sz w:val="30"/>
          <w:szCs w:val="30"/>
        </w:rPr>
      </w:pPr>
      <w:r>
        <w:rPr>
          <w:rFonts w:hint="eastAsia" w:ascii="黑体" w:eastAsia="黑体"/>
          <w:sz w:val="30"/>
          <w:szCs w:val="30"/>
        </w:rPr>
        <w:t>第三部分 2025年部门预算情况说明</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关于皮山县机关事务服务中心2025年收支预算情况总体说明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按照全口径预算的原则，皮山县机关事务服务中心2025年所有收入和支出均纳入部门预算管理。收支总预算1,057.51万元。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收入预算包括：一般公共预算。</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支出预算包括：一般公共服务支出、社会保障和就业支出、卫生健康支出、住房保障支出。</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关于皮山县机关事务服务中心2025年收入预算情况说明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皮山县机关事务服务中心部门收入预算1,057.51万元，其中：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一般公共预算1,057.51万元，占100.00%，比上年预算增加330.80万元，增长45.52%，主要原因是1、在职人员增加1人，工资福利，五险一金，公用经费等增加</w:t>
      </w:r>
      <w:r>
        <w:rPr>
          <w:rFonts w:hint="eastAsia" w:ascii="仿宋" w:hAnsi="微软雅黑" w:eastAsia="仿宋"/>
          <w:sz w:val="28"/>
          <w:szCs w:val="28"/>
          <w:lang w:eastAsia="zh-CN"/>
        </w:rPr>
        <w:t>。</w:t>
      </w:r>
      <w:r>
        <w:rPr>
          <w:rFonts w:hint="eastAsia" w:ascii="仿宋" w:hAnsi="微软雅黑" w:eastAsia="仿宋"/>
          <w:sz w:val="28"/>
          <w:szCs w:val="28"/>
        </w:rPr>
        <w:t>2、单位人员工资</w:t>
      </w:r>
      <w:r>
        <w:rPr>
          <w:rFonts w:hint="eastAsia" w:ascii="仿宋" w:hAnsi="微软雅黑" w:eastAsia="仿宋"/>
          <w:sz w:val="28"/>
          <w:szCs w:val="28"/>
          <w:lang w:eastAsia="zh-CN"/>
        </w:rPr>
        <w:t>调增、社保基数和公积金基数调整</w:t>
      </w:r>
      <w:r>
        <w:rPr>
          <w:rFonts w:hint="eastAsia" w:ascii="仿宋" w:hAnsi="微软雅黑" w:eastAsia="仿宋"/>
          <w:sz w:val="28"/>
          <w:szCs w:val="28"/>
        </w:rPr>
        <w:t>，</w:t>
      </w:r>
      <w:r>
        <w:rPr>
          <w:rFonts w:hint="eastAsia" w:ascii="仿宋" w:hAnsi="微软雅黑" w:eastAsia="仿宋"/>
          <w:sz w:val="28"/>
          <w:szCs w:val="28"/>
          <w:lang w:eastAsia="zh-CN"/>
        </w:rPr>
        <w:t>预算</w:t>
      </w:r>
      <w:r>
        <w:rPr>
          <w:rFonts w:hint="eastAsia" w:ascii="仿宋" w:hAnsi="微软雅黑" w:eastAsia="仿宋"/>
          <w:sz w:val="28"/>
          <w:szCs w:val="28"/>
        </w:rPr>
        <w:t>比上一年增加</w:t>
      </w:r>
      <w:r>
        <w:rPr>
          <w:rFonts w:hint="eastAsia" w:ascii="仿宋" w:hAnsi="微软雅黑" w:eastAsia="仿宋"/>
          <w:sz w:val="28"/>
          <w:szCs w:val="28"/>
          <w:lang w:eastAsia="zh-CN"/>
        </w:rPr>
        <w:t>。</w:t>
      </w:r>
      <w:r>
        <w:rPr>
          <w:rFonts w:hint="eastAsia" w:ascii="仿宋" w:hAnsi="微软雅黑" w:eastAsia="仿宋"/>
          <w:sz w:val="28"/>
          <w:szCs w:val="28"/>
        </w:rPr>
        <w:t>3、单位车辆增</w:t>
      </w:r>
      <w:r>
        <w:rPr>
          <w:rFonts w:hint="eastAsia" w:ascii="仿宋" w:hAnsi="微软雅黑" w:eastAsia="仿宋"/>
          <w:sz w:val="28"/>
          <w:szCs w:val="28"/>
          <w:lang w:eastAsia="zh-CN"/>
        </w:rPr>
        <w:t>加</w:t>
      </w:r>
      <w:r>
        <w:rPr>
          <w:rFonts w:hint="eastAsia" w:ascii="仿宋" w:hAnsi="微软雅黑" w:eastAsia="仿宋"/>
          <w:sz w:val="28"/>
          <w:szCs w:val="28"/>
        </w:rPr>
        <w:t>，车辆运行费增长。</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上级一般公共预算安排的转移支付资金未安排。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政府性基金预算未安排。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上级政府性基金安排的转移支付资金未安排。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国有资本经营预算未安排。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上级国有资本经营预算安排的转移支付资金未安排。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财政拨款结转0.00万元，占0.00%，比上年预算减少7.56万元，下降100.00%，主要原因是2025年单位社工人员减少为0，因此比上年预算减少。</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关于皮山县机关事务服务中心2025年支出预算情况说明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皮山县机关事务服务中心2025年支出预算1,057.51万元，其中：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基本支出770.51万元，占72.86%，比上年预算增加43.80万元，增长6.03%，主要原因是1、在职人员增加1人，工资福利，五险一金，公用经费等增加</w:t>
      </w:r>
      <w:r>
        <w:rPr>
          <w:rFonts w:hint="eastAsia" w:ascii="仿宋" w:hAnsi="微软雅黑" w:eastAsia="仿宋"/>
          <w:sz w:val="28"/>
          <w:szCs w:val="28"/>
          <w:lang w:eastAsia="zh-CN"/>
        </w:rPr>
        <w:t>。</w:t>
      </w:r>
      <w:r>
        <w:rPr>
          <w:rFonts w:hint="eastAsia" w:ascii="仿宋" w:hAnsi="微软雅黑" w:eastAsia="仿宋"/>
          <w:sz w:val="28"/>
          <w:szCs w:val="28"/>
        </w:rPr>
        <w:t>2、单位人员工资</w:t>
      </w:r>
      <w:r>
        <w:rPr>
          <w:rFonts w:hint="eastAsia" w:ascii="仿宋" w:hAnsi="微软雅黑" w:eastAsia="仿宋"/>
          <w:sz w:val="28"/>
          <w:szCs w:val="28"/>
          <w:lang w:eastAsia="zh-CN"/>
        </w:rPr>
        <w:t>调增、社保基数和公积金基数调整</w:t>
      </w:r>
      <w:r>
        <w:rPr>
          <w:rFonts w:hint="eastAsia" w:ascii="仿宋" w:hAnsi="微软雅黑" w:eastAsia="仿宋"/>
          <w:sz w:val="28"/>
          <w:szCs w:val="28"/>
        </w:rPr>
        <w:t>，支出比上一年增加</w:t>
      </w:r>
      <w:r>
        <w:rPr>
          <w:rFonts w:hint="eastAsia" w:ascii="仿宋" w:hAnsi="微软雅黑" w:eastAsia="仿宋"/>
          <w:sz w:val="28"/>
          <w:szCs w:val="28"/>
          <w:lang w:eastAsia="zh-CN"/>
        </w:rPr>
        <w:t>。</w:t>
      </w:r>
      <w:r>
        <w:rPr>
          <w:rFonts w:hint="eastAsia" w:ascii="仿宋" w:hAnsi="微软雅黑" w:eastAsia="仿宋"/>
          <w:sz w:val="28"/>
          <w:szCs w:val="28"/>
        </w:rPr>
        <w:t>3、单位车辆增</w:t>
      </w:r>
      <w:r>
        <w:rPr>
          <w:rFonts w:hint="eastAsia" w:ascii="仿宋" w:hAnsi="微软雅黑" w:eastAsia="仿宋"/>
          <w:sz w:val="28"/>
          <w:szCs w:val="28"/>
          <w:lang w:eastAsia="zh-CN"/>
        </w:rPr>
        <w:t>加</w:t>
      </w:r>
      <w:r>
        <w:rPr>
          <w:rFonts w:hint="eastAsia" w:ascii="仿宋" w:hAnsi="微软雅黑" w:eastAsia="仿宋"/>
          <w:sz w:val="28"/>
          <w:szCs w:val="28"/>
        </w:rPr>
        <w:t>，车辆运行费增长。</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项目支出287.00万元，占27.14%，比上年预算增加279.44万元，增长3,696.30%，主要原因是1、因工作需要车辆数量增加，因车辆使用年限长，性能下降，需要频繁的维修保养，因而导致保险费、折旧费、维修费、年检费增加。2、为顺利完成公务接待工作，今年专门做了公务接待277万的项目，因此项目支出比上一年预算增加。</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关于皮山县机关事务服务中心2025年财政拨款收支预算情况的总体说明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2025年财政拨款收支总预算1,057.51万元。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收入全部为一般公共预算拨款，无政府性基金预算拨款和国有资本经营预算。</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收入预算包括：一般公共预算拨款1,057.51万元。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一般公共预算支出包括：一般公共服务支出851.76万元，主要用于职工工资，津贴补贴，公用经费等公共服务支出；社会保障和就业支出119.97万元，主要用于职工养老，职业年金等保险支出；卫生健康支出30.14万元，主要用于职工基本医疗保险，补助等支出；住房保障支出55.64万元，主要用于职工住房公积金支出。</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关于皮山县机关事务服务中心2025年一般公共预算当年拨款情况说明</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（一）一般公共预算当年拨款规模变化情况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皮山县机关事务服务中心2025年一般公共预算拨款合计1,057.51万元，其中：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基本支出770.51万元，比上年预算增加43.80万元，增长6.03%，主要原因是主要原因是1、在职人员增加1人，工资福利，五险一金，公用经费等增加</w:t>
      </w:r>
      <w:r>
        <w:rPr>
          <w:rFonts w:hint="eastAsia" w:ascii="仿宋" w:hAnsi="微软雅黑" w:eastAsia="仿宋"/>
          <w:sz w:val="28"/>
          <w:szCs w:val="28"/>
          <w:lang w:eastAsia="zh-CN"/>
        </w:rPr>
        <w:t>。</w:t>
      </w:r>
      <w:r>
        <w:rPr>
          <w:rFonts w:hint="eastAsia" w:ascii="仿宋" w:hAnsi="微软雅黑" w:eastAsia="仿宋"/>
          <w:sz w:val="28"/>
          <w:szCs w:val="28"/>
        </w:rPr>
        <w:t>2、单位人员工资</w:t>
      </w:r>
      <w:r>
        <w:rPr>
          <w:rFonts w:hint="eastAsia" w:ascii="仿宋" w:hAnsi="微软雅黑" w:eastAsia="仿宋"/>
          <w:sz w:val="28"/>
          <w:szCs w:val="28"/>
          <w:lang w:eastAsia="zh-CN"/>
        </w:rPr>
        <w:t>调增、社保基数和公积金基数调整</w:t>
      </w:r>
      <w:r>
        <w:rPr>
          <w:rFonts w:hint="eastAsia" w:ascii="仿宋" w:hAnsi="微软雅黑" w:eastAsia="仿宋"/>
          <w:sz w:val="28"/>
          <w:szCs w:val="28"/>
        </w:rPr>
        <w:t>，支出比上一年增加</w:t>
      </w:r>
      <w:r>
        <w:rPr>
          <w:rFonts w:hint="eastAsia" w:ascii="仿宋" w:hAnsi="微软雅黑" w:eastAsia="仿宋"/>
          <w:sz w:val="28"/>
          <w:szCs w:val="28"/>
          <w:lang w:eastAsia="zh-CN"/>
        </w:rPr>
        <w:t>。</w:t>
      </w:r>
      <w:r>
        <w:rPr>
          <w:rFonts w:hint="eastAsia" w:ascii="仿宋" w:hAnsi="微软雅黑" w:eastAsia="仿宋"/>
          <w:sz w:val="28"/>
          <w:szCs w:val="28"/>
        </w:rPr>
        <w:t>3、单位车辆增</w:t>
      </w:r>
      <w:r>
        <w:rPr>
          <w:rFonts w:hint="eastAsia" w:ascii="仿宋" w:hAnsi="微软雅黑" w:eastAsia="仿宋"/>
          <w:sz w:val="28"/>
          <w:szCs w:val="28"/>
          <w:lang w:eastAsia="zh-CN"/>
        </w:rPr>
        <w:t>加</w:t>
      </w:r>
      <w:r>
        <w:rPr>
          <w:rFonts w:hint="eastAsia" w:ascii="仿宋" w:hAnsi="微软雅黑" w:eastAsia="仿宋"/>
          <w:sz w:val="28"/>
          <w:szCs w:val="28"/>
        </w:rPr>
        <w:t>，车辆运行费增长。</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项目支出287.00万元，比上年预算增加287.00万元，增长100.00%，主要原因是1、因工作需要车辆数量增加，因车辆使用年限长，性能下降，需要频繁的维修保养，因而导致保险费、折旧费、维修费、年检费增加。2、因去年没做公务接待的项目支出，今年为顺利完成公务接待工作，专门做了公务接待277万的项目，因此项目支出比上一年预算增加。</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（二）一般公共预算当年拨款结构情况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1、一般公共服务支出（类）851.76万元，占80.54%。</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2、社会保障和就业支出（类）119.97万元，占11.34%。</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3、卫生健康支出（类）30.14万元，占2.85%。</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4、住房保障支出（类）55.64万元，占5.26%。</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（三）一般公共预算当年拨款具体使用情况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一般公共服务支出（类）政府办公厅（室）及相关机构事务（款）机关服务（项）：2025年预算数为851.76万元，比上年预算增加293.01万元，增长52.44%，主要原因是主要原因是1、在职人员增加1人，工资福利，五险一金，公用经费等增加</w:t>
      </w:r>
      <w:r>
        <w:rPr>
          <w:rFonts w:hint="eastAsia" w:ascii="仿宋" w:hAnsi="微软雅黑" w:eastAsia="仿宋"/>
          <w:sz w:val="28"/>
          <w:szCs w:val="28"/>
          <w:lang w:eastAsia="zh-CN"/>
        </w:rPr>
        <w:t>。</w:t>
      </w:r>
      <w:r>
        <w:rPr>
          <w:rFonts w:hint="eastAsia" w:ascii="仿宋" w:hAnsi="微软雅黑" w:eastAsia="仿宋"/>
          <w:sz w:val="28"/>
          <w:szCs w:val="28"/>
        </w:rPr>
        <w:t>2、单位人员工资</w:t>
      </w:r>
      <w:r>
        <w:rPr>
          <w:rFonts w:hint="eastAsia" w:ascii="仿宋" w:hAnsi="微软雅黑" w:eastAsia="仿宋"/>
          <w:sz w:val="28"/>
          <w:szCs w:val="28"/>
          <w:lang w:eastAsia="zh-CN"/>
        </w:rPr>
        <w:t>调增、社保基数和公积金基数调整</w:t>
      </w:r>
      <w:r>
        <w:rPr>
          <w:rFonts w:hint="eastAsia" w:ascii="仿宋" w:hAnsi="微软雅黑" w:eastAsia="仿宋"/>
          <w:sz w:val="28"/>
          <w:szCs w:val="28"/>
        </w:rPr>
        <w:t>，支出比上一年增加</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社会保障和就业支出（类）行政事业单位养老支出（款）事业单位离退休（项）：2025年预算数为22.78万元，比上年预算减少4.98万元，下降17.94%，主要原因是以前年度养老支出（款）行政单位离退休（项）中包含为退休人员缴纳的社保部分，后续无需为退休人员缴纳社保，因此预算减少。</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社会保障和就业支出（类）行政事业单位养老支出（款）机关事业单位基本养老保险缴费支出（项）：2025年预算数为74.19万元，比上年预算增加4.65万元，增长6.69%，主要原因是在职人员增加1人，并人员工资增长，单位养老保险部分增加。</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社会保障和就业支出（类）行政事业单位养老支出（款）机关事业单位职业年金缴费支出（项）：2025年预算数为23.00万元，比上年预算增加4.50万元，增长24.32%，主要原因是在职人员增加1人，并人员工资增长，单位职业年金部分增加。</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5、卫生健康支出（类）行政事业单位医疗（款）事业单位医疗（项）：2025年预算数为30.14万元，比上年预算增加30.14万元，增长100.00%，主要原因是在职人员增加1人，并人员工资增长，单位医疗保险部分增加。</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6、住房保障支出（类）住房改革支出（款）住房公积金（项）：2025年预算数为55.64万元，比上年预算增加3.49万元，增长6.69%，主要原因是在职人员增加1人，单位住房公积金部分增加。</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关于皮山县机关事务服务中心2025年一般公共预算基本支出情况说明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皮山县机关事务服务中心2025年一般公共预算基本支出770.51万元，其中：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人员经费736.47万元，主要包括：基本工资、津贴补贴、奖金、绩效工资、机关事业单位基本养老保险缴费、职业年金缴费、职工基本医疗保险缴费、其他社会保障缴费、住房公积金、退休费、奖励金。</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公用经费34.04万元，主要包括：办公费、电费、取暖费、差旅费、公务用车运行维护费、其他商品和服务支出。</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关于皮山县机关事务服务中心2025年一般公共预算项目支出情况说明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（一）项目名称：2025年度公务接待费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设立的政策依据：《党政机关国内公务接待管理规定》</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预算安排规模：277.00万元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项目承担单位：皮山县机关事务服务中心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资金分配情况：用餐费</w:t>
      </w:r>
      <w:r>
        <w:rPr>
          <w:rFonts w:hint="eastAsia" w:ascii="仿宋" w:hAnsi="微软雅黑" w:eastAsia="仿宋"/>
          <w:sz w:val="28"/>
          <w:szCs w:val="28"/>
          <w:lang w:val="en-US" w:eastAsia="zh-CN"/>
        </w:rPr>
        <w:t>200万</w:t>
      </w:r>
      <w:r>
        <w:rPr>
          <w:rFonts w:hint="eastAsia" w:ascii="仿宋" w:hAnsi="微软雅黑" w:eastAsia="仿宋"/>
          <w:sz w:val="28"/>
          <w:szCs w:val="28"/>
        </w:rPr>
        <w:t>、午休费</w:t>
      </w:r>
      <w:r>
        <w:rPr>
          <w:rFonts w:hint="eastAsia" w:ascii="仿宋" w:hAnsi="微软雅黑" w:eastAsia="仿宋"/>
          <w:sz w:val="28"/>
          <w:szCs w:val="28"/>
          <w:lang w:val="en-US" w:eastAsia="zh-CN"/>
        </w:rPr>
        <w:t>77万</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资金执行时间：2025年1月1日至2025年12月31日</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（二）项目名称：2025年车辆运行经费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设立的政策依据：《党政机关公务用车预算决算管理办法》</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预算安排规模：10.00万元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项目承担单位：皮山县机关事务服务中心</w:t>
      </w:r>
    </w:p>
    <w:p>
      <w:pPr>
        <w:widowControl/>
        <w:spacing w:line="560" w:lineRule="exact"/>
        <w:ind w:firstLine="560" w:firstLineChars="200"/>
        <w:rPr>
          <w:rFonts w:hint="default" w:ascii="仿宋" w:hAnsi="微软雅黑" w:eastAsia="仿宋"/>
          <w:sz w:val="28"/>
          <w:szCs w:val="28"/>
          <w:lang w:val="en-US" w:eastAsia="zh-CN"/>
        </w:rPr>
      </w:pPr>
      <w:r>
        <w:rPr>
          <w:rFonts w:hint="eastAsia" w:ascii="仿宋" w:hAnsi="微软雅黑" w:eastAsia="仿宋"/>
          <w:sz w:val="28"/>
          <w:szCs w:val="28"/>
        </w:rPr>
        <w:t>资金分配情况：车辆燃油费</w:t>
      </w:r>
      <w:r>
        <w:rPr>
          <w:rFonts w:hint="eastAsia" w:ascii="仿宋" w:hAnsi="微软雅黑" w:eastAsia="仿宋"/>
          <w:sz w:val="28"/>
          <w:szCs w:val="28"/>
          <w:lang w:val="en-US" w:eastAsia="zh-CN"/>
        </w:rPr>
        <w:t>4万元</w:t>
      </w:r>
      <w:r>
        <w:rPr>
          <w:rFonts w:hint="eastAsia" w:ascii="仿宋" w:hAnsi="微软雅黑" w:eastAsia="仿宋"/>
          <w:sz w:val="28"/>
          <w:szCs w:val="28"/>
        </w:rPr>
        <w:t>、保险费</w:t>
      </w:r>
      <w:r>
        <w:rPr>
          <w:rFonts w:hint="eastAsia" w:ascii="仿宋" w:hAnsi="微软雅黑" w:eastAsia="仿宋"/>
          <w:sz w:val="28"/>
          <w:szCs w:val="28"/>
          <w:lang w:val="en-US" w:eastAsia="zh-CN"/>
        </w:rPr>
        <w:t>3万元</w:t>
      </w:r>
      <w:r>
        <w:rPr>
          <w:rFonts w:hint="eastAsia" w:ascii="仿宋" w:hAnsi="微软雅黑" w:eastAsia="仿宋"/>
          <w:sz w:val="28"/>
          <w:szCs w:val="28"/>
        </w:rPr>
        <w:t>、修理费</w:t>
      </w:r>
      <w:r>
        <w:rPr>
          <w:rFonts w:hint="eastAsia" w:ascii="仿宋" w:hAnsi="微软雅黑" w:eastAsia="仿宋"/>
          <w:sz w:val="28"/>
          <w:szCs w:val="28"/>
          <w:lang w:val="en-US" w:eastAsia="zh-CN"/>
        </w:rPr>
        <w:t>3万元</w:t>
      </w:r>
      <w:bookmarkStart w:id="0" w:name="_GoBack"/>
      <w:bookmarkEnd w:id="0"/>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资金执行时间：2025年1月1日至2025年12月31日</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关于皮山县机关事务服务中心2025年政府性基金预算拨款情况说明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皮山县机关事务服务中心2025年没有使用政府性基金预算拨款安排的支出，政府性基金预算支出情况表为空表。</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关于皮山县机关事务服务中心2025年国有资本经营预算拨款情况说明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皮山县机关事务服务中心2025年没有使用国有资本经营预算拨款安排的支出，国有资本经营预算支出情况表为空表。</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关于皮山县机关事务服务中心2025年财政拨款“三公”经费预算情况说明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皮山县机关事务服务中心2025年财政拨款“三公”经费数为305.00万元，其中：因公出国（境）费0.00万元，公务用车购置费0.00万元，公务用车运行费28.00万元，公务接待费277.00万元。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财政拨款“三公”经费预算比上年预算增加301.00万元，增长7,525.00%，其中：因公出国（境）费增加0.00万元，增长0.00%，主要原因是2024年与2025年均未安排因公出国（境）费用；公务用车购置费增加0.00万元，增长0.00%，主要原因是2024年与2025年均未安排公务用车购置；公务用车运行费增加24.00万元，增长600.00%，主要原因是因工作需要车辆数量增加，因而导致保险费、保养费、维修费、年检费增加；公务接待费增加277.00万元，增长100.00%，主要原因是为顺利完成2025年公务接待工作，因此公务接待费增加。</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关于皮山县机关事务服务中心2025年上年结转结余预算情况说明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皮山县机关事务服务中心2025年没有上年结转结余预算安排的支出，上年结转结余情况明细表为空表。</w:t>
      </w:r>
    </w:p>
    <w:p>
      <w:pPr>
        <w:pStyle w:val="3"/>
        <w:numPr>
          <w:ilvl w:val="0"/>
          <w:numId w:val="3"/>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其他重要事项的情况说明</w:t>
      </w:r>
    </w:p>
    <w:p>
      <w:pPr>
        <w:pStyle w:val="4"/>
        <w:numPr>
          <w:ilvl w:val="0"/>
          <w:numId w:val="4"/>
        </w:numPr>
        <w:spacing w:before="0" w:after="0" w:line="560" w:lineRule="exact"/>
        <w:ind w:left="0" w:firstLine="562" w:firstLineChars="201"/>
        <w:rPr>
          <w:rFonts w:hint="default" w:ascii="楷体" w:eastAsia="楷体"/>
          <w:sz w:val="28"/>
          <w:szCs w:val="28"/>
        </w:rPr>
      </w:pPr>
      <w:r>
        <w:rPr>
          <w:rFonts w:hint="eastAsia" w:ascii="楷体" w:eastAsia="楷体"/>
          <w:sz w:val="28"/>
          <w:szCs w:val="28"/>
        </w:rPr>
        <w:t>单位运行经费情况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皮山县机关事务服务中心2025年的机关运行经费财政拨款预算34.04万元，比上年预算增加15.24万元，增长81.06%，主要原因是1、单位在职人员增加1人和单位西部计划志愿者增加2人。</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2、单位负责县委值班室电费。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3、因单位工作需要车辆数量增加，因此单位运行经费增加。</w:t>
      </w:r>
    </w:p>
    <w:p>
      <w:pPr>
        <w:pStyle w:val="4"/>
        <w:numPr>
          <w:ilvl w:val="0"/>
          <w:numId w:val="4"/>
        </w:numPr>
        <w:spacing w:before="0" w:after="0" w:line="560" w:lineRule="exact"/>
        <w:ind w:left="0" w:firstLine="562" w:firstLineChars="201"/>
        <w:rPr>
          <w:rFonts w:hint="default" w:ascii="楷体" w:eastAsia="楷体"/>
          <w:sz w:val="28"/>
          <w:szCs w:val="28"/>
        </w:rPr>
      </w:pPr>
      <w:r>
        <w:rPr>
          <w:rFonts w:hint="eastAsia" w:ascii="楷体" w:eastAsia="楷体"/>
          <w:sz w:val="28"/>
          <w:szCs w:val="28"/>
        </w:rPr>
        <w:t>政府采购情况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2025年，皮山县机关事务服务中心政府采购预算25.35万元，其中：政府采购货物预算0.85万元，政府采购工程预算0.00万元，政府采购服务预算24.50万元。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2025年，皮山县机关事务服务中心面向中小企业预留政府采购项目预算金额0.00万元，小微企业预留政府采购项目预算金额20.55万元。</w:t>
      </w:r>
    </w:p>
    <w:p>
      <w:pPr>
        <w:pStyle w:val="4"/>
        <w:numPr>
          <w:ilvl w:val="0"/>
          <w:numId w:val="4"/>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国有资产占用使用情况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截至2024年底，皮山县机关事务服务中心占用使用国有资产总体情况为：</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1.房屋0.00平方米，价值0.00万元。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2.车辆0辆，价值0.00万元；其中：一般公务用车0辆，价值0.00万元；执法执勤用车0辆，价值0.00万元；其他车辆0辆，价值0.00万元。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3.办公家具价值0.00万元。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4.其他资产价值0.00万元。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部门价值50万元以上大型设备0台，部门价值100万元以上大型设备0台。</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2025年部门预算未安排购置车辆经费，安排购置50万元以上大型设备0台，单位价值100万元以上大型设备0台。</w:t>
      </w:r>
    </w:p>
    <w:p>
      <w:pPr>
        <w:pStyle w:val="4"/>
        <w:numPr>
          <w:ilvl w:val="0"/>
          <w:numId w:val="4"/>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预算绩效情况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2025年，本部门预算绩效管理整体预算绩效目标1个，涉及预算金额1,057.51万元；当年预算安排项目共2个，其中：财政拨款项目涉及预算金额287.00万元；非财政拨款项目涉及预算金额0.00万元。具体情况见下表：</w:t>
      </w:r>
    </w:p>
    <w:p>
      <w:pPr>
        <w:spacing w:line="560" w:lineRule="exact"/>
        <w:jc w:val="center"/>
        <w:rPr>
          <w:rFonts w:hint="default" w:ascii="仿宋" w:eastAsia="仿宋"/>
          <w:b/>
          <w:sz w:val="28"/>
          <w:szCs w:val="28"/>
        </w:rPr>
      </w:pPr>
      <w:r>
        <w:rPr>
          <w:b/>
          <w:sz w:val="44"/>
          <w:szCs w:val="44"/>
        </w:rPr>
        <w:br w:type="page"/>
      </w:r>
      <w:r>
        <w:rPr>
          <w:rFonts w:hint="eastAsia" w:ascii="仿宋" w:eastAsia="仿宋"/>
          <w:b/>
          <w:sz w:val="28"/>
          <w:szCs w:val="28"/>
        </w:rPr>
        <w:t>部门整体绩效目标表</w:t>
      </w:r>
    </w:p>
    <w:p>
      <w:pPr>
        <w:spacing w:line="360" w:lineRule="exact"/>
        <w:jc w:val="center"/>
        <w:rPr>
          <w:rFonts w:hint="default" w:ascii="仿宋" w:eastAsia="仿宋"/>
          <w:sz w:val="18"/>
          <w:szCs w:val="18"/>
        </w:rPr>
      </w:pPr>
      <w:r>
        <w:rPr>
          <w:rFonts w:hint="eastAsia" w:ascii="仿宋" w:eastAsia="仿宋"/>
          <w:sz w:val="18"/>
          <w:szCs w:val="18"/>
        </w:rPr>
        <w:t>（2025年）</w:t>
      </w:r>
    </w:p>
    <w:tbl>
      <w:tblPr>
        <w:tblStyle w:val="8"/>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2410"/>
        <w:gridCol w:w="88"/>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rPr>
            </w:pPr>
            <w:r>
              <w:rPr>
                <w:rFonts w:hint="eastAsia"/>
                <w:b/>
                <w:sz w:val="18"/>
                <w:szCs w:val="18"/>
              </w:rPr>
              <w:t>部门名称（盖章）</w:t>
            </w:r>
          </w:p>
        </w:tc>
        <w:tc>
          <w:tcPr>
            <w:tcW w:w="6578" w:type="dxa"/>
            <w:gridSpan w:val="5"/>
            <w:shd w:val="clear" w:color="auto" w:fill="auto"/>
            <w:vAlign w:val="center"/>
          </w:tcPr>
          <w:p>
            <w:pPr>
              <w:jc w:val="center"/>
              <w:rPr>
                <w:sz w:val="18"/>
                <w:szCs w:val="18"/>
              </w:rPr>
            </w:pPr>
            <w:r>
              <w:rPr>
                <w:rFonts w:hint="eastAsia"/>
                <w:sz w:val="18"/>
                <w:szCs w:val="18"/>
              </w:rPr>
              <w:t>皮山县机关事务服务中心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rPr>
            </w:pPr>
            <w:r>
              <w:rPr>
                <w:rFonts w:hint="eastAsia"/>
                <w:b/>
                <w:sz w:val="18"/>
                <w:szCs w:val="18"/>
              </w:rPr>
              <w:t>部门联系人</w:t>
            </w:r>
          </w:p>
        </w:tc>
        <w:tc>
          <w:tcPr>
            <w:tcW w:w="2498" w:type="dxa"/>
            <w:gridSpan w:val="2"/>
            <w:shd w:val="clear" w:color="auto" w:fill="auto"/>
            <w:vAlign w:val="center"/>
          </w:tcPr>
          <w:p>
            <w:pPr>
              <w:jc w:val="center"/>
              <w:rPr>
                <w:b/>
                <w:sz w:val="18"/>
                <w:szCs w:val="18"/>
              </w:rPr>
            </w:pPr>
            <w:r>
              <w:rPr>
                <w:rFonts w:hint="eastAsia"/>
                <w:sz w:val="18"/>
                <w:szCs w:val="18"/>
              </w:rPr>
              <w:t>阿布力孜江·阿布都米吉提</w:t>
            </w:r>
          </w:p>
        </w:tc>
        <w:tc>
          <w:tcPr>
            <w:tcW w:w="1360" w:type="dxa"/>
            <w:shd w:val="clear" w:color="auto" w:fill="auto"/>
            <w:vAlign w:val="center"/>
          </w:tcPr>
          <w:p>
            <w:pPr>
              <w:jc w:val="center"/>
              <w:rPr>
                <w:b/>
                <w:sz w:val="18"/>
                <w:szCs w:val="18"/>
              </w:rPr>
            </w:pPr>
            <w:r>
              <w:rPr>
                <w:rFonts w:hint="eastAsia"/>
                <w:b/>
                <w:sz w:val="18"/>
                <w:szCs w:val="18"/>
              </w:rPr>
              <w:t>联系电话</w:t>
            </w:r>
          </w:p>
        </w:tc>
        <w:tc>
          <w:tcPr>
            <w:tcW w:w="2720" w:type="dxa"/>
            <w:gridSpan w:val="2"/>
            <w:shd w:val="clear" w:color="auto" w:fill="auto"/>
            <w:vAlign w:val="center"/>
          </w:tcPr>
          <w:p>
            <w:pPr>
              <w:jc w:val="center"/>
              <w:rPr>
                <w:sz w:val="18"/>
                <w:szCs w:val="18"/>
              </w:rPr>
            </w:pPr>
            <w:r>
              <w:rPr>
                <w:rFonts w:hint="eastAsia"/>
                <w:sz w:val="18"/>
                <w:szCs w:val="18"/>
              </w:rPr>
              <w:t>13899464821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2943" w:type="dxa"/>
            <w:gridSpan w:val="2"/>
            <w:shd w:val="clear" w:color="auto" w:fill="auto"/>
            <w:vAlign w:val="center"/>
          </w:tcPr>
          <w:p>
            <w:pPr>
              <w:jc w:val="center"/>
              <w:rPr>
                <w:b/>
                <w:sz w:val="18"/>
                <w:szCs w:val="18"/>
              </w:rPr>
            </w:pPr>
            <w:r>
              <w:rPr>
                <w:rFonts w:hint="eastAsia"/>
                <w:b/>
                <w:sz w:val="18"/>
                <w:szCs w:val="18"/>
              </w:rPr>
              <w:t>年度绩效目标</w:t>
            </w:r>
          </w:p>
        </w:tc>
        <w:tc>
          <w:tcPr>
            <w:tcW w:w="6578" w:type="dxa"/>
            <w:gridSpan w:val="5"/>
            <w:shd w:val="clear" w:color="auto" w:fill="auto"/>
            <w:vAlign w:val="center"/>
          </w:tcPr>
          <w:p>
            <w:pPr>
              <w:rPr>
                <w:b/>
                <w:sz w:val="18"/>
                <w:szCs w:val="18"/>
              </w:rPr>
            </w:pPr>
            <w:r>
              <w:rPr>
                <w:rFonts w:hint="eastAsia"/>
                <w:color w:val="000000"/>
                <w:sz w:val="18"/>
                <w:szCs w:val="18"/>
              </w:rPr>
              <w:t>负责</w:t>
            </w:r>
            <w:r>
              <w:rPr>
                <w:rFonts w:hint="eastAsia"/>
                <w:color w:val="000000"/>
                <w:sz w:val="18"/>
                <w:szCs w:val="18"/>
                <w:lang w:eastAsia="zh-CN"/>
              </w:rPr>
              <w:t>皮山</w:t>
            </w:r>
            <w:r>
              <w:rPr>
                <w:rFonts w:hint="eastAsia"/>
                <w:color w:val="000000"/>
                <w:sz w:val="18"/>
                <w:szCs w:val="18"/>
              </w:rPr>
              <w:t>县委、</w:t>
            </w:r>
            <w:r>
              <w:rPr>
                <w:rFonts w:hint="eastAsia"/>
                <w:color w:val="000000"/>
                <w:sz w:val="18"/>
                <w:szCs w:val="18"/>
                <w:lang w:val="en-US" w:eastAsia="zh-CN"/>
              </w:rPr>
              <w:t>县</w:t>
            </w:r>
            <w:r>
              <w:rPr>
                <w:rFonts w:hint="eastAsia"/>
                <w:color w:val="000000"/>
                <w:sz w:val="18"/>
                <w:szCs w:val="18"/>
              </w:rPr>
              <w:t>政府联合办公大楼及附属房产的使用、分配和综合管理，负责机关公共节能工作；负责县委、</w:t>
            </w:r>
            <w:r>
              <w:rPr>
                <w:rFonts w:hint="eastAsia"/>
                <w:color w:val="000000"/>
                <w:sz w:val="18"/>
                <w:szCs w:val="18"/>
                <w:lang w:val="en-US" w:eastAsia="zh-CN"/>
              </w:rPr>
              <w:t>县</w:t>
            </w:r>
            <w:r>
              <w:rPr>
                <w:rFonts w:hint="eastAsia"/>
                <w:color w:val="000000"/>
                <w:sz w:val="18"/>
                <w:szCs w:val="18"/>
              </w:rPr>
              <w:t>政府大院的安全保卫工作；负责县政府院内的水、电、暖、气的运行管理和维修；负责县委环境卫生、绿化美化亮</w:t>
            </w:r>
            <w:r>
              <w:rPr>
                <w:rFonts w:hint="eastAsia"/>
                <w:color w:val="000000"/>
                <w:sz w:val="18"/>
                <w:szCs w:val="18"/>
                <w:lang w:val="en-US" w:eastAsia="zh-CN"/>
              </w:rPr>
              <w:t>化</w:t>
            </w:r>
            <w:r>
              <w:rPr>
                <w:rFonts w:hint="eastAsia"/>
                <w:color w:val="000000"/>
                <w:sz w:val="18"/>
                <w:szCs w:val="18"/>
              </w:rPr>
              <w:t>工作；负责本级党政机关公务用车统一管理；负责会务保障工作；负责来本县领导同志的公务接待服务工作及本县大型会议、重大活动的接待服务工作；负责领导宿舍、职工食堂、职工宿舍、院内菜地、车库及干部周转房管理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restart"/>
            <w:shd w:val="clear" w:color="auto" w:fill="auto"/>
            <w:vAlign w:val="center"/>
          </w:tcPr>
          <w:p>
            <w:pPr>
              <w:jc w:val="center"/>
              <w:rPr>
                <w:b/>
                <w:sz w:val="18"/>
                <w:szCs w:val="18"/>
              </w:rPr>
            </w:pPr>
            <w:r>
              <w:rPr>
                <w:rFonts w:hint="eastAsia"/>
                <w:b/>
                <w:sz w:val="18"/>
                <w:szCs w:val="18"/>
              </w:rPr>
              <w:t>年度预算(万元)</w:t>
            </w:r>
          </w:p>
        </w:tc>
        <w:tc>
          <w:tcPr>
            <w:tcW w:w="3858" w:type="dxa"/>
            <w:gridSpan w:val="3"/>
            <w:shd w:val="clear" w:color="auto" w:fill="auto"/>
            <w:vAlign w:val="center"/>
          </w:tcPr>
          <w:p>
            <w:pPr>
              <w:jc w:val="center"/>
              <w:rPr>
                <w:sz w:val="18"/>
                <w:szCs w:val="18"/>
              </w:rPr>
            </w:pPr>
            <w:r>
              <w:rPr>
                <w:rFonts w:hint="eastAsia"/>
                <w:sz w:val="18"/>
                <w:szCs w:val="18"/>
              </w:rPr>
              <w:t>资金来源</w:t>
            </w:r>
          </w:p>
        </w:tc>
        <w:tc>
          <w:tcPr>
            <w:tcW w:w="2720" w:type="dxa"/>
            <w:gridSpan w:val="2"/>
            <w:shd w:val="clear" w:color="auto" w:fill="auto"/>
            <w:vAlign w:val="center"/>
          </w:tcPr>
          <w:p>
            <w:pPr>
              <w:jc w:val="center"/>
              <w:rPr>
                <w:sz w:val="18"/>
                <w:szCs w:val="18"/>
              </w:rPr>
            </w:pPr>
            <w:r>
              <w:rPr>
                <w:rFonts w:hint="eastAsia"/>
                <w:sz w:val="18"/>
                <w:szCs w:val="18"/>
              </w:rPr>
              <w:t>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vMerge w:val="restart"/>
            <w:shd w:val="clear" w:color="auto" w:fill="auto"/>
            <w:vAlign w:val="center"/>
          </w:tcPr>
          <w:p>
            <w:pPr>
              <w:jc w:val="center"/>
              <w:rPr>
                <w:rFonts w:hint="eastAsia"/>
                <w:sz w:val="18"/>
                <w:szCs w:val="18"/>
              </w:rPr>
            </w:pPr>
            <w:r>
              <w:rPr>
                <w:rFonts w:hint="eastAsia"/>
                <w:sz w:val="18"/>
                <w:szCs w:val="18"/>
              </w:rPr>
              <w:t>财政资金（万元）</w:t>
            </w:r>
          </w:p>
        </w:tc>
        <w:tc>
          <w:tcPr>
            <w:tcW w:w="1448" w:type="dxa"/>
            <w:gridSpan w:val="2"/>
            <w:shd w:val="clear" w:color="auto" w:fill="auto"/>
            <w:vAlign w:val="center"/>
          </w:tcPr>
          <w:p>
            <w:pPr>
              <w:jc w:val="center"/>
              <w:rPr>
                <w:rFonts w:hint="eastAsia"/>
                <w:sz w:val="18"/>
                <w:szCs w:val="18"/>
              </w:rPr>
            </w:pPr>
            <w:r>
              <w:rPr>
                <w:rFonts w:hint="eastAsia"/>
                <w:sz w:val="18"/>
                <w:szCs w:val="18"/>
              </w:rPr>
              <w:t>上级安排</w:t>
            </w:r>
          </w:p>
        </w:tc>
        <w:tc>
          <w:tcPr>
            <w:tcW w:w="2720" w:type="dxa"/>
            <w:gridSpan w:val="2"/>
            <w:shd w:val="clear" w:color="auto" w:fill="auto"/>
            <w:vAlign w:val="center"/>
          </w:tcPr>
          <w:p>
            <w:pPr>
              <w:jc w:val="center"/>
              <w:rPr>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vMerge w:val="continue"/>
            <w:shd w:val="clear" w:color="auto" w:fill="auto"/>
            <w:vAlign w:val="center"/>
          </w:tcPr>
          <w:p>
            <w:pPr>
              <w:jc w:val="center"/>
              <w:rPr>
                <w:rFonts w:hint="eastAsia"/>
                <w:sz w:val="18"/>
                <w:szCs w:val="18"/>
              </w:rPr>
            </w:pPr>
          </w:p>
        </w:tc>
        <w:tc>
          <w:tcPr>
            <w:tcW w:w="1448" w:type="dxa"/>
            <w:gridSpan w:val="2"/>
            <w:shd w:val="clear" w:color="auto" w:fill="auto"/>
            <w:vAlign w:val="center"/>
          </w:tcPr>
          <w:p>
            <w:pPr>
              <w:jc w:val="center"/>
              <w:rPr>
                <w:rFonts w:hint="eastAsia"/>
                <w:sz w:val="18"/>
                <w:szCs w:val="18"/>
              </w:rPr>
            </w:pPr>
            <w:r>
              <w:rPr>
                <w:rFonts w:hint="eastAsia"/>
                <w:sz w:val="18"/>
                <w:szCs w:val="18"/>
              </w:rPr>
              <w:t>本级安排</w:t>
            </w:r>
          </w:p>
        </w:tc>
        <w:tc>
          <w:tcPr>
            <w:tcW w:w="2720" w:type="dxa"/>
            <w:gridSpan w:val="2"/>
            <w:shd w:val="clear" w:color="auto" w:fill="auto"/>
            <w:vAlign w:val="center"/>
          </w:tcPr>
          <w:p>
            <w:pPr>
              <w:jc w:val="center"/>
              <w:rPr>
                <w:sz w:val="18"/>
                <w:szCs w:val="18"/>
              </w:rPr>
            </w:pPr>
            <w:r>
              <w:rPr>
                <w:rFonts w:hint="eastAsia"/>
                <w:sz w:val="18"/>
                <w:szCs w:val="18"/>
              </w:rPr>
              <w:t>1,057.51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shd w:val="clear" w:color="auto" w:fill="auto"/>
            <w:vAlign w:val="center"/>
          </w:tcPr>
          <w:p>
            <w:pPr>
              <w:jc w:val="center"/>
              <w:rPr>
                <w:rFonts w:hint="eastAsia"/>
                <w:sz w:val="18"/>
                <w:szCs w:val="18"/>
              </w:rPr>
            </w:pPr>
            <w:r>
              <w:rPr>
                <w:rFonts w:hint="eastAsia"/>
                <w:sz w:val="18"/>
                <w:szCs w:val="18"/>
              </w:rPr>
              <w:t>其他资金（万元）</w:t>
            </w:r>
          </w:p>
        </w:tc>
        <w:tc>
          <w:tcPr>
            <w:tcW w:w="1448" w:type="dxa"/>
            <w:gridSpan w:val="2"/>
            <w:shd w:val="clear" w:color="auto" w:fill="auto"/>
            <w:vAlign w:val="center"/>
          </w:tcPr>
          <w:p>
            <w:pPr>
              <w:jc w:val="center"/>
              <w:rPr>
                <w:rFonts w:hint="eastAsia"/>
                <w:sz w:val="18"/>
                <w:szCs w:val="18"/>
              </w:rPr>
            </w:pPr>
            <w:r>
              <w:rPr>
                <w:rFonts w:hint="eastAsia"/>
                <w:sz w:val="18"/>
                <w:szCs w:val="18"/>
              </w:rPr>
              <w:t>其他</w:t>
            </w:r>
          </w:p>
        </w:tc>
        <w:tc>
          <w:tcPr>
            <w:tcW w:w="2720" w:type="dxa"/>
            <w:gridSpan w:val="2"/>
            <w:shd w:val="clear" w:color="auto" w:fill="auto"/>
            <w:vAlign w:val="center"/>
          </w:tcPr>
          <w:p>
            <w:pPr>
              <w:jc w:val="center"/>
              <w:rPr>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shd w:val="clear" w:color="auto" w:fill="auto"/>
            <w:vAlign w:val="center"/>
          </w:tcPr>
          <w:p>
            <w:pPr>
              <w:jc w:val="center"/>
              <w:rPr>
                <w:b/>
                <w:sz w:val="18"/>
                <w:szCs w:val="18"/>
              </w:rPr>
            </w:pPr>
            <w:r>
              <w:rPr>
                <w:rFonts w:hint="eastAsia"/>
                <w:b/>
                <w:sz w:val="18"/>
                <w:szCs w:val="18"/>
              </w:rPr>
              <w:t>一级指标</w:t>
            </w:r>
          </w:p>
        </w:tc>
        <w:tc>
          <w:tcPr>
            <w:tcW w:w="1559" w:type="dxa"/>
            <w:shd w:val="clear" w:color="auto" w:fill="auto"/>
            <w:vAlign w:val="center"/>
          </w:tcPr>
          <w:p>
            <w:pPr>
              <w:jc w:val="center"/>
              <w:rPr>
                <w:b/>
                <w:sz w:val="18"/>
                <w:szCs w:val="18"/>
              </w:rPr>
            </w:pPr>
            <w:r>
              <w:rPr>
                <w:rFonts w:hint="eastAsia"/>
                <w:b/>
                <w:sz w:val="18"/>
                <w:szCs w:val="18"/>
              </w:rPr>
              <w:t>二级指标</w:t>
            </w:r>
          </w:p>
        </w:tc>
        <w:tc>
          <w:tcPr>
            <w:tcW w:w="2410" w:type="dxa"/>
            <w:shd w:val="clear" w:color="auto" w:fill="auto"/>
            <w:vAlign w:val="center"/>
          </w:tcPr>
          <w:p>
            <w:pPr>
              <w:jc w:val="center"/>
              <w:rPr>
                <w:b/>
                <w:sz w:val="18"/>
                <w:szCs w:val="18"/>
              </w:rPr>
            </w:pPr>
            <w:r>
              <w:rPr>
                <w:rFonts w:hint="eastAsia"/>
                <w:b/>
                <w:sz w:val="18"/>
                <w:szCs w:val="18"/>
              </w:rPr>
              <w:t>三级指标</w:t>
            </w:r>
          </w:p>
        </w:tc>
        <w:tc>
          <w:tcPr>
            <w:tcW w:w="1448" w:type="dxa"/>
            <w:gridSpan w:val="2"/>
            <w:shd w:val="clear" w:color="auto" w:fill="auto"/>
            <w:vAlign w:val="center"/>
          </w:tcPr>
          <w:p>
            <w:pPr>
              <w:jc w:val="center"/>
              <w:rPr>
                <w:b/>
                <w:sz w:val="18"/>
                <w:szCs w:val="18"/>
              </w:rPr>
            </w:pPr>
            <w:r>
              <w:rPr>
                <w:rFonts w:hint="eastAsia"/>
                <w:b/>
                <w:sz w:val="18"/>
                <w:szCs w:val="18"/>
              </w:rPr>
              <w:t>指标值</w:t>
            </w:r>
          </w:p>
        </w:tc>
        <w:tc>
          <w:tcPr>
            <w:tcW w:w="1360" w:type="dxa"/>
            <w:shd w:val="clear" w:color="auto" w:fill="auto"/>
            <w:vAlign w:val="center"/>
          </w:tcPr>
          <w:p>
            <w:pPr>
              <w:jc w:val="center"/>
              <w:rPr>
                <w:b/>
                <w:sz w:val="18"/>
                <w:szCs w:val="18"/>
              </w:rPr>
            </w:pPr>
            <w:r>
              <w:rPr>
                <w:rFonts w:hint="eastAsia"/>
                <w:b/>
                <w:sz w:val="18"/>
                <w:szCs w:val="18"/>
              </w:rPr>
              <w:t>指标设定依据</w:t>
            </w:r>
          </w:p>
        </w:tc>
        <w:tc>
          <w:tcPr>
            <w:tcW w:w="1360" w:type="dxa"/>
            <w:shd w:val="clear" w:color="auto" w:fill="auto"/>
            <w:vAlign w:val="center"/>
          </w:tcPr>
          <w:p>
            <w:pPr>
              <w:jc w:val="center"/>
              <w:rPr>
                <w:b/>
                <w:sz w:val="18"/>
                <w:szCs w:val="18"/>
              </w:rPr>
            </w:pPr>
            <w:r>
              <w:rPr>
                <w:rFonts w:hint="eastAsia"/>
                <w:b/>
                <w:sz w:val="18"/>
                <w:szCs w:val="18"/>
              </w:rPr>
              <w:t>分值权重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rPr>
            </w:pPr>
            <w:r>
              <w:rPr>
                <w:rFonts w:hint="eastAsia"/>
                <w:sz w:val="18"/>
                <w:szCs w:val="18"/>
              </w:rPr>
              <w:t>履职效能</w:t>
            </w:r>
          </w:p>
        </w:tc>
        <w:tc>
          <w:tcPr>
            <w:tcW w:w="1559" w:type="dxa"/>
            <w:vMerge w:val="restart"/>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开展专项培训次数</w:t>
            </w:r>
          </w:p>
        </w:tc>
        <w:tc>
          <w:tcPr>
            <w:tcW w:w="1448" w:type="dxa"/>
            <w:gridSpan w:val="2"/>
            <w:shd w:val="clear" w:color="auto" w:fill="auto"/>
            <w:vAlign w:val="center"/>
          </w:tcPr>
          <w:p>
            <w:pPr>
              <w:jc w:val="center"/>
              <w:rPr>
                <w:sz w:val="18"/>
                <w:szCs w:val="18"/>
              </w:rPr>
            </w:pPr>
            <w:r>
              <w:rPr>
                <w:rFonts w:hint="eastAsia"/>
                <w:sz w:val="18"/>
                <w:szCs w:val="18"/>
              </w:rPr>
              <w:t>＞=2次</w:t>
            </w:r>
          </w:p>
        </w:tc>
        <w:tc>
          <w:tcPr>
            <w:tcW w:w="1360" w:type="dxa"/>
            <w:shd w:val="clear" w:color="auto" w:fill="auto"/>
            <w:vAlign w:val="center"/>
          </w:tcPr>
          <w:p>
            <w:pPr>
              <w:jc w:val="center"/>
              <w:rPr>
                <w:sz w:val="18"/>
                <w:szCs w:val="18"/>
              </w:rPr>
            </w:pPr>
            <w:r>
              <w:rPr>
                <w:rFonts w:hint="eastAsia"/>
                <w:sz w:val="18"/>
                <w:szCs w:val="18"/>
              </w:rPr>
              <w:t>机关事务服务中心2025年度工作计划</w:t>
            </w:r>
          </w:p>
        </w:tc>
        <w:tc>
          <w:tcPr>
            <w:tcW w:w="1360" w:type="dxa"/>
            <w:shd w:val="clear" w:color="auto" w:fill="auto"/>
            <w:vAlign w:val="center"/>
          </w:tcPr>
          <w:p>
            <w:pPr>
              <w:jc w:val="center"/>
              <w:rPr>
                <w:sz w:val="18"/>
                <w:szCs w:val="18"/>
              </w:rPr>
            </w:pPr>
            <w:r>
              <w:rPr>
                <w:rFonts w:hint="eastAsia"/>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举办讲座并邀请专家讲解次数</w:t>
            </w:r>
          </w:p>
        </w:tc>
        <w:tc>
          <w:tcPr>
            <w:tcW w:w="1448" w:type="dxa"/>
            <w:gridSpan w:val="2"/>
            <w:shd w:val="clear" w:color="auto" w:fill="auto"/>
            <w:vAlign w:val="center"/>
          </w:tcPr>
          <w:p>
            <w:pPr>
              <w:jc w:val="center"/>
              <w:rPr>
                <w:sz w:val="18"/>
                <w:szCs w:val="18"/>
              </w:rPr>
            </w:pPr>
            <w:r>
              <w:rPr>
                <w:rFonts w:hint="eastAsia"/>
                <w:sz w:val="18"/>
                <w:szCs w:val="18"/>
              </w:rPr>
              <w:t>＞=1次</w:t>
            </w:r>
          </w:p>
        </w:tc>
        <w:tc>
          <w:tcPr>
            <w:tcW w:w="1360" w:type="dxa"/>
            <w:shd w:val="clear" w:color="auto" w:fill="auto"/>
            <w:vAlign w:val="center"/>
          </w:tcPr>
          <w:p>
            <w:pPr>
              <w:jc w:val="center"/>
              <w:rPr>
                <w:sz w:val="18"/>
                <w:szCs w:val="18"/>
              </w:rPr>
            </w:pPr>
            <w:r>
              <w:rPr>
                <w:rFonts w:hint="eastAsia"/>
                <w:sz w:val="18"/>
                <w:szCs w:val="18"/>
              </w:rPr>
              <w:t>机关事务服务中心2025年度工作计划</w:t>
            </w:r>
          </w:p>
        </w:tc>
        <w:tc>
          <w:tcPr>
            <w:tcW w:w="1360" w:type="dxa"/>
            <w:shd w:val="clear" w:color="auto" w:fill="auto"/>
            <w:vAlign w:val="center"/>
          </w:tcPr>
          <w:p>
            <w:pPr>
              <w:jc w:val="center"/>
              <w:rPr>
                <w:sz w:val="18"/>
                <w:szCs w:val="18"/>
              </w:rPr>
            </w:pPr>
            <w:r>
              <w:rPr>
                <w:rFonts w:hint="eastAsia"/>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开展车辆停放、使用情况实地检查次数</w:t>
            </w:r>
          </w:p>
        </w:tc>
        <w:tc>
          <w:tcPr>
            <w:tcW w:w="1448" w:type="dxa"/>
            <w:gridSpan w:val="2"/>
            <w:shd w:val="clear" w:color="auto" w:fill="auto"/>
            <w:vAlign w:val="center"/>
          </w:tcPr>
          <w:p>
            <w:pPr>
              <w:jc w:val="center"/>
              <w:rPr>
                <w:sz w:val="18"/>
                <w:szCs w:val="18"/>
              </w:rPr>
            </w:pPr>
            <w:r>
              <w:rPr>
                <w:rFonts w:hint="eastAsia"/>
                <w:sz w:val="18"/>
                <w:szCs w:val="18"/>
              </w:rPr>
              <w:t>＞=3次</w:t>
            </w:r>
          </w:p>
        </w:tc>
        <w:tc>
          <w:tcPr>
            <w:tcW w:w="1360" w:type="dxa"/>
            <w:shd w:val="clear" w:color="auto" w:fill="auto"/>
            <w:vAlign w:val="center"/>
          </w:tcPr>
          <w:p>
            <w:pPr>
              <w:jc w:val="center"/>
              <w:rPr>
                <w:sz w:val="18"/>
                <w:szCs w:val="18"/>
              </w:rPr>
            </w:pPr>
            <w:r>
              <w:rPr>
                <w:rFonts w:hint="eastAsia"/>
                <w:sz w:val="18"/>
                <w:szCs w:val="18"/>
              </w:rPr>
              <w:t>机关事务服务中心2025年度工作计划</w:t>
            </w:r>
          </w:p>
        </w:tc>
        <w:tc>
          <w:tcPr>
            <w:tcW w:w="1360" w:type="dxa"/>
            <w:shd w:val="clear" w:color="auto" w:fill="auto"/>
            <w:vAlign w:val="center"/>
          </w:tcPr>
          <w:p>
            <w:pPr>
              <w:jc w:val="center"/>
              <w:rPr>
                <w:sz w:val="18"/>
                <w:szCs w:val="18"/>
              </w:rPr>
            </w:pPr>
            <w:r>
              <w:rPr>
                <w:rFonts w:hint="eastAsia"/>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开展对办公用房检查次数</w:t>
            </w:r>
          </w:p>
        </w:tc>
        <w:tc>
          <w:tcPr>
            <w:tcW w:w="1448" w:type="dxa"/>
            <w:gridSpan w:val="2"/>
            <w:shd w:val="clear" w:color="auto" w:fill="auto"/>
            <w:vAlign w:val="center"/>
          </w:tcPr>
          <w:p>
            <w:pPr>
              <w:jc w:val="center"/>
              <w:rPr>
                <w:sz w:val="18"/>
                <w:szCs w:val="18"/>
              </w:rPr>
            </w:pPr>
            <w:r>
              <w:rPr>
                <w:rFonts w:hint="eastAsia"/>
                <w:sz w:val="18"/>
                <w:szCs w:val="18"/>
              </w:rPr>
              <w:t>＞=2次</w:t>
            </w:r>
          </w:p>
        </w:tc>
        <w:tc>
          <w:tcPr>
            <w:tcW w:w="1360" w:type="dxa"/>
            <w:shd w:val="clear" w:color="auto" w:fill="auto"/>
            <w:vAlign w:val="center"/>
          </w:tcPr>
          <w:p>
            <w:pPr>
              <w:jc w:val="center"/>
              <w:rPr>
                <w:sz w:val="18"/>
                <w:szCs w:val="18"/>
              </w:rPr>
            </w:pPr>
            <w:r>
              <w:rPr>
                <w:rFonts w:hint="eastAsia"/>
                <w:sz w:val="18"/>
                <w:szCs w:val="18"/>
              </w:rPr>
              <w:t>机关事务服务中心2025年度工作计划</w:t>
            </w:r>
          </w:p>
        </w:tc>
        <w:tc>
          <w:tcPr>
            <w:tcW w:w="1360" w:type="dxa"/>
            <w:shd w:val="clear" w:color="auto" w:fill="auto"/>
            <w:vAlign w:val="center"/>
          </w:tcPr>
          <w:p>
            <w:pPr>
              <w:jc w:val="center"/>
              <w:rPr>
                <w:sz w:val="18"/>
                <w:szCs w:val="18"/>
              </w:rPr>
            </w:pPr>
            <w:r>
              <w:rPr>
                <w:rFonts w:hint="eastAsia"/>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开展提升安保人员业务能力与应急处置水平培训次数</w:t>
            </w:r>
          </w:p>
        </w:tc>
        <w:tc>
          <w:tcPr>
            <w:tcW w:w="1448" w:type="dxa"/>
            <w:gridSpan w:val="2"/>
            <w:shd w:val="clear" w:color="auto" w:fill="auto"/>
            <w:vAlign w:val="center"/>
          </w:tcPr>
          <w:p>
            <w:pPr>
              <w:jc w:val="center"/>
              <w:rPr>
                <w:sz w:val="18"/>
                <w:szCs w:val="18"/>
              </w:rPr>
            </w:pPr>
            <w:r>
              <w:rPr>
                <w:rFonts w:hint="eastAsia"/>
                <w:sz w:val="18"/>
                <w:szCs w:val="18"/>
              </w:rPr>
              <w:t>＞=6次</w:t>
            </w:r>
          </w:p>
        </w:tc>
        <w:tc>
          <w:tcPr>
            <w:tcW w:w="1360" w:type="dxa"/>
            <w:shd w:val="clear" w:color="auto" w:fill="auto"/>
            <w:vAlign w:val="center"/>
          </w:tcPr>
          <w:p>
            <w:pPr>
              <w:jc w:val="center"/>
              <w:rPr>
                <w:sz w:val="18"/>
                <w:szCs w:val="18"/>
              </w:rPr>
            </w:pPr>
            <w:r>
              <w:rPr>
                <w:rFonts w:hint="eastAsia"/>
                <w:sz w:val="18"/>
                <w:szCs w:val="18"/>
              </w:rPr>
              <w:t>机关事务服务中心2025年度工作计划</w:t>
            </w:r>
          </w:p>
        </w:tc>
        <w:tc>
          <w:tcPr>
            <w:tcW w:w="1360" w:type="dxa"/>
            <w:shd w:val="clear" w:color="auto" w:fill="auto"/>
            <w:vAlign w:val="center"/>
          </w:tcPr>
          <w:p>
            <w:pPr>
              <w:jc w:val="center"/>
              <w:rPr>
                <w:sz w:val="18"/>
                <w:szCs w:val="18"/>
              </w:rPr>
            </w:pPr>
            <w:r>
              <w:rPr>
                <w:rFonts w:hint="eastAsia"/>
                <w:sz w:val="18"/>
                <w:szCs w:val="18"/>
              </w:rPr>
              <w:t>18</w:t>
            </w:r>
          </w:p>
        </w:tc>
      </w:tr>
    </w:tbl>
    <w:p/>
    <w:p>
      <w:pPr>
        <w:spacing w:line="560" w:lineRule="exact"/>
        <w:jc w:val="center"/>
        <w:rPr>
          <w:rFonts w:hint="default" w:ascii="仿宋" w:eastAsia="仿宋"/>
          <w:b/>
          <w:sz w:val="28"/>
          <w:szCs w:val="28"/>
        </w:rPr>
      </w:pPr>
      <w:r>
        <w:rPr>
          <w:b/>
          <w:sz w:val="44"/>
          <w:szCs w:val="44"/>
        </w:rPr>
        <w:br w:type="page"/>
      </w:r>
      <w:r>
        <w:rPr>
          <w:rFonts w:hint="eastAsia" w:ascii="仿宋" w:eastAsia="仿宋"/>
          <w:b/>
          <w:sz w:val="28"/>
          <w:szCs w:val="28"/>
        </w:rPr>
        <w:t>项目支出绩效目标表</w:t>
      </w:r>
    </w:p>
    <w:p>
      <w:pPr>
        <w:spacing w:line="360" w:lineRule="exact"/>
        <w:jc w:val="center"/>
        <w:rPr>
          <w:rFonts w:hint="default" w:ascii="仿宋" w:eastAsia="仿宋"/>
          <w:sz w:val="18"/>
          <w:szCs w:val="18"/>
        </w:rPr>
      </w:pPr>
      <w:r>
        <w:rPr>
          <w:rFonts w:hint="eastAsia" w:ascii="仿宋" w:eastAsia="仿宋"/>
          <w:sz w:val="18"/>
          <w:szCs w:val="18"/>
        </w:rPr>
        <w:t>（2025年）</w:t>
      </w:r>
    </w:p>
    <w:tbl>
      <w:tblPr>
        <w:tblStyle w:val="8"/>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预算单位</w:t>
            </w:r>
          </w:p>
        </w:tc>
        <w:tc>
          <w:tcPr>
            <w:tcW w:w="8160" w:type="dxa"/>
            <w:gridSpan w:val="8"/>
            <w:shd w:val="clear" w:color="auto" w:fill="auto"/>
            <w:vAlign w:val="center"/>
          </w:tcPr>
          <w:p>
            <w:pPr>
              <w:jc w:val="center"/>
              <w:rPr>
                <w:sz w:val="18"/>
                <w:szCs w:val="18"/>
              </w:rPr>
            </w:pPr>
            <w:r>
              <w:rPr>
                <w:rFonts w:hint="eastAsia"/>
                <w:sz w:val="18"/>
                <w:szCs w:val="18"/>
              </w:rPr>
              <w:t>皮山县机关事务服务中心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rFonts w:hint="eastAsia"/>
                <w:b/>
                <w:sz w:val="18"/>
                <w:szCs w:val="18"/>
              </w:rPr>
            </w:pPr>
            <w:r>
              <w:rPr>
                <w:rFonts w:hint="eastAsia"/>
                <w:b/>
                <w:sz w:val="18"/>
                <w:szCs w:val="18"/>
              </w:rPr>
              <w:t>项目名称</w:t>
            </w:r>
          </w:p>
        </w:tc>
        <w:tc>
          <w:tcPr>
            <w:tcW w:w="5440" w:type="dxa"/>
            <w:gridSpan w:val="6"/>
            <w:shd w:val="clear" w:color="auto" w:fill="auto"/>
            <w:vAlign w:val="center"/>
          </w:tcPr>
          <w:p>
            <w:pPr>
              <w:jc w:val="center"/>
              <w:rPr>
                <w:rFonts w:hint="eastAsia"/>
                <w:b/>
                <w:sz w:val="18"/>
                <w:szCs w:val="18"/>
              </w:rPr>
            </w:pPr>
            <w:r>
              <w:rPr>
                <w:rFonts w:hint="eastAsia"/>
                <w:sz w:val="18"/>
                <w:szCs w:val="18"/>
              </w:rPr>
              <w:t>2025年度公务接待费</w:t>
            </w:r>
          </w:p>
        </w:tc>
        <w:tc>
          <w:tcPr>
            <w:tcW w:w="1360" w:type="dxa"/>
            <w:shd w:val="clear" w:color="auto" w:fill="auto"/>
            <w:vAlign w:val="center"/>
          </w:tcPr>
          <w:p>
            <w:pPr>
              <w:jc w:val="center"/>
              <w:rPr>
                <w:rFonts w:hint="eastAsia"/>
                <w:sz w:val="18"/>
                <w:szCs w:val="18"/>
              </w:rPr>
            </w:pPr>
            <w:r>
              <w:rPr>
                <w:rFonts w:hint="eastAsia"/>
                <w:b/>
                <w:sz w:val="18"/>
                <w:szCs w:val="18"/>
              </w:rPr>
              <w:t>项目负责人</w:t>
            </w:r>
          </w:p>
        </w:tc>
        <w:tc>
          <w:tcPr>
            <w:tcW w:w="1360" w:type="dxa"/>
            <w:shd w:val="clear" w:color="auto" w:fill="auto"/>
            <w:vAlign w:val="center"/>
          </w:tcPr>
          <w:p>
            <w:pPr>
              <w:jc w:val="center"/>
              <w:rPr>
                <w:rFonts w:hint="eastAsia"/>
                <w:sz w:val="18"/>
                <w:szCs w:val="18"/>
              </w:rPr>
            </w:pPr>
            <w:r>
              <w:rPr>
                <w:rFonts w:hint="eastAsia"/>
                <w:sz w:val="18"/>
                <w:szCs w:val="18"/>
              </w:rPr>
              <w:t>阿布力孜江·阿布都米吉提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项目资金(万元)</w:t>
            </w:r>
          </w:p>
        </w:tc>
        <w:tc>
          <w:tcPr>
            <w:tcW w:w="1360" w:type="dxa"/>
            <w:shd w:val="clear" w:color="auto" w:fill="auto"/>
            <w:vAlign w:val="center"/>
          </w:tcPr>
          <w:p>
            <w:pPr>
              <w:jc w:val="center"/>
              <w:rPr>
                <w:sz w:val="18"/>
                <w:szCs w:val="18"/>
              </w:rPr>
            </w:pPr>
            <w:r>
              <w:rPr>
                <w:rFonts w:hint="eastAsia"/>
                <w:sz w:val="18"/>
                <w:szCs w:val="18"/>
              </w:rPr>
              <w:t>年度预算总额</w:t>
            </w:r>
          </w:p>
        </w:tc>
        <w:tc>
          <w:tcPr>
            <w:tcW w:w="1360" w:type="dxa"/>
            <w:gridSpan w:val="2"/>
            <w:shd w:val="clear" w:color="auto" w:fill="auto"/>
            <w:vAlign w:val="center"/>
          </w:tcPr>
          <w:p>
            <w:pPr>
              <w:jc w:val="center"/>
              <w:rPr>
                <w:sz w:val="18"/>
                <w:szCs w:val="18"/>
              </w:rPr>
            </w:pPr>
            <w:r>
              <w:rPr>
                <w:rFonts w:hint="eastAsia"/>
                <w:sz w:val="18"/>
                <w:szCs w:val="18"/>
              </w:rPr>
              <w:t>2</w:t>
            </w:r>
            <w:r>
              <w:rPr>
                <w:rFonts w:hint="eastAsia"/>
                <w:sz w:val="18"/>
                <w:szCs w:val="18"/>
                <w:lang w:val="en-US" w:eastAsia="zh-CN"/>
              </w:rPr>
              <w:t>7</w:t>
            </w:r>
            <w:r>
              <w:rPr>
                <w:rFonts w:hint="eastAsia"/>
                <w:sz w:val="18"/>
                <w:szCs w:val="18"/>
              </w:rPr>
              <w:t>7.00</w:t>
            </w:r>
          </w:p>
        </w:tc>
        <w:tc>
          <w:tcPr>
            <w:tcW w:w="1360" w:type="dxa"/>
            <w:shd w:val="clear" w:color="auto" w:fill="auto"/>
            <w:vAlign w:val="center"/>
          </w:tcPr>
          <w:p>
            <w:pPr>
              <w:jc w:val="center"/>
              <w:rPr>
                <w:sz w:val="18"/>
                <w:szCs w:val="18"/>
              </w:rPr>
            </w:pPr>
            <w:r>
              <w:rPr>
                <w:rFonts w:hint="eastAsia"/>
                <w:sz w:val="18"/>
                <w:szCs w:val="18"/>
              </w:rPr>
              <w:t>其中：财政拨款</w:t>
            </w:r>
          </w:p>
        </w:tc>
        <w:tc>
          <w:tcPr>
            <w:tcW w:w="1360" w:type="dxa"/>
            <w:gridSpan w:val="2"/>
            <w:shd w:val="clear" w:color="auto" w:fill="auto"/>
            <w:vAlign w:val="center"/>
          </w:tcPr>
          <w:p>
            <w:pPr>
              <w:jc w:val="center"/>
              <w:rPr>
                <w:sz w:val="18"/>
                <w:szCs w:val="18"/>
              </w:rPr>
            </w:pPr>
            <w:r>
              <w:rPr>
                <w:rFonts w:hint="eastAsia"/>
                <w:sz w:val="18"/>
                <w:szCs w:val="18"/>
              </w:rPr>
              <w:t>2</w:t>
            </w:r>
            <w:r>
              <w:rPr>
                <w:rFonts w:hint="eastAsia"/>
                <w:sz w:val="18"/>
                <w:szCs w:val="18"/>
                <w:lang w:val="en-US" w:eastAsia="zh-CN"/>
              </w:rPr>
              <w:t>7</w:t>
            </w:r>
            <w:r>
              <w:rPr>
                <w:rFonts w:hint="eastAsia"/>
                <w:sz w:val="18"/>
                <w:szCs w:val="18"/>
              </w:rPr>
              <w:t>7.00</w:t>
            </w:r>
          </w:p>
        </w:tc>
        <w:tc>
          <w:tcPr>
            <w:tcW w:w="1360" w:type="dxa"/>
            <w:shd w:val="clear" w:color="auto" w:fill="auto"/>
            <w:vAlign w:val="center"/>
          </w:tcPr>
          <w:p>
            <w:pPr>
              <w:jc w:val="center"/>
              <w:rPr>
                <w:sz w:val="18"/>
                <w:szCs w:val="18"/>
              </w:rPr>
            </w:pPr>
            <w:r>
              <w:rPr>
                <w:rFonts w:hint="eastAsia"/>
                <w:sz w:val="18"/>
                <w:szCs w:val="18"/>
              </w:rPr>
              <w:t>其他资金</w:t>
            </w:r>
          </w:p>
        </w:tc>
        <w:tc>
          <w:tcPr>
            <w:tcW w:w="1360" w:type="dxa"/>
            <w:shd w:val="clear" w:color="auto" w:fill="auto"/>
            <w:vAlign w:val="center"/>
          </w:tcPr>
          <w:p>
            <w:pPr>
              <w:jc w:val="center"/>
              <w:rPr>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rPr>
            </w:pPr>
            <w:r>
              <w:rPr>
                <w:rFonts w:hint="eastAsia"/>
                <w:b/>
                <w:sz w:val="18"/>
                <w:szCs w:val="18"/>
              </w:rPr>
              <w:t>项目总体目标</w:t>
            </w:r>
          </w:p>
        </w:tc>
        <w:tc>
          <w:tcPr>
            <w:tcW w:w="8160" w:type="dxa"/>
            <w:gridSpan w:val="8"/>
            <w:shd w:val="clear" w:color="auto" w:fill="auto"/>
            <w:vAlign w:val="center"/>
          </w:tcPr>
          <w:p>
            <w:pPr>
              <w:rPr>
                <w:b/>
                <w:sz w:val="18"/>
                <w:szCs w:val="18"/>
              </w:rPr>
            </w:pPr>
            <w:r>
              <w:rPr>
                <w:rFonts w:hint="eastAsia"/>
                <w:color w:val="000000"/>
                <w:sz w:val="18"/>
                <w:szCs w:val="18"/>
              </w:rPr>
              <w:t>公务接待次数不少于1386次，通过项目的实施，提高服务水平和餐饮开发水平，达到宣传推介皮山的效果。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rPr>
            </w:pPr>
            <w:r>
              <w:rPr>
                <w:rFonts w:hint="eastAsia"/>
                <w:b/>
                <w:sz w:val="18"/>
                <w:szCs w:val="18"/>
              </w:rPr>
              <w:t>一级指标</w:t>
            </w:r>
          </w:p>
        </w:tc>
        <w:tc>
          <w:tcPr>
            <w:tcW w:w="680" w:type="dxa"/>
            <w:shd w:val="clear" w:color="auto" w:fill="auto"/>
            <w:vAlign w:val="center"/>
          </w:tcPr>
          <w:p>
            <w:pPr>
              <w:jc w:val="center"/>
              <w:rPr>
                <w:b/>
                <w:sz w:val="18"/>
                <w:szCs w:val="18"/>
              </w:rPr>
            </w:pPr>
            <w:r>
              <w:rPr>
                <w:rFonts w:hint="eastAsia"/>
                <w:b/>
                <w:sz w:val="18"/>
                <w:szCs w:val="18"/>
              </w:rPr>
              <w:t>二级指标</w:t>
            </w:r>
          </w:p>
        </w:tc>
        <w:tc>
          <w:tcPr>
            <w:tcW w:w="2040" w:type="dxa"/>
            <w:gridSpan w:val="2"/>
            <w:shd w:val="clear" w:color="auto" w:fill="auto"/>
            <w:vAlign w:val="center"/>
          </w:tcPr>
          <w:p>
            <w:pPr>
              <w:jc w:val="center"/>
              <w:rPr>
                <w:b/>
                <w:sz w:val="18"/>
                <w:szCs w:val="18"/>
              </w:rPr>
            </w:pPr>
            <w:r>
              <w:rPr>
                <w:rFonts w:hint="eastAsia"/>
                <w:b/>
                <w:sz w:val="18"/>
                <w:szCs w:val="18"/>
              </w:rPr>
              <w:t>三级指标</w:t>
            </w:r>
          </w:p>
        </w:tc>
        <w:tc>
          <w:tcPr>
            <w:tcW w:w="680" w:type="dxa"/>
            <w:shd w:val="clear" w:color="auto" w:fill="auto"/>
            <w:vAlign w:val="center"/>
          </w:tcPr>
          <w:p>
            <w:pPr>
              <w:jc w:val="center"/>
              <w:rPr>
                <w:b/>
                <w:sz w:val="18"/>
                <w:szCs w:val="18"/>
              </w:rPr>
            </w:pPr>
            <w:r>
              <w:rPr>
                <w:rFonts w:hint="eastAsia"/>
                <w:b/>
                <w:sz w:val="18"/>
                <w:szCs w:val="18"/>
              </w:rPr>
              <w:t>指标值</w:t>
            </w:r>
          </w:p>
        </w:tc>
        <w:tc>
          <w:tcPr>
            <w:tcW w:w="1360" w:type="dxa"/>
            <w:shd w:val="clear" w:color="auto" w:fill="auto"/>
            <w:vAlign w:val="center"/>
          </w:tcPr>
          <w:p>
            <w:pPr>
              <w:jc w:val="center"/>
              <w:rPr>
                <w:b/>
                <w:sz w:val="18"/>
                <w:szCs w:val="18"/>
              </w:rPr>
            </w:pPr>
            <w:r>
              <w:rPr>
                <w:rFonts w:hint="eastAsia"/>
                <w:b/>
                <w:sz w:val="18"/>
                <w:szCs w:val="18"/>
              </w:rPr>
              <w:t>指标值设置依据</w:t>
            </w:r>
          </w:p>
        </w:tc>
        <w:tc>
          <w:tcPr>
            <w:tcW w:w="680" w:type="dxa"/>
            <w:shd w:val="clear" w:color="auto" w:fill="auto"/>
            <w:vAlign w:val="center"/>
          </w:tcPr>
          <w:p>
            <w:pPr>
              <w:jc w:val="center"/>
              <w:rPr>
                <w:b/>
                <w:sz w:val="18"/>
                <w:szCs w:val="18"/>
              </w:rPr>
            </w:pPr>
            <w:r>
              <w:rPr>
                <w:rFonts w:hint="eastAsia"/>
                <w:b/>
                <w:sz w:val="18"/>
                <w:szCs w:val="18"/>
              </w:rPr>
              <w:t>上年完成值</w:t>
            </w:r>
          </w:p>
        </w:tc>
        <w:tc>
          <w:tcPr>
            <w:tcW w:w="680" w:type="dxa"/>
            <w:shd w:val="clear" w:color="auto" w:fill="auto"/>
            <w:vAlign w:val="center"/>
          </w:tcPr>
          <w:p>
            <w:pPr>
              <w:jc w:val="center"/>
              <w:rPr>
                <w:b/>
                <w:sz w:val="18"/>
                <w:szCs w:val="18"/>
              </w:rPr>
            </w:pPr>
            <w:r>
              <w:rPr>
                <w:rFonts w:hint="eastAsia"/>
                <w:b/>
                <w:sz w:val="18"/>
                <w:szCs w:val="18"/>
              </w:rPr>
              <w:t>指标分值权重</w:t>
            </w:r>
          </w:p>
        </w:tc>
        <w:tc>
          <w:tcPr>
            <w:tcW w:w="1360" w:type="dxa"/>
            <w:shd w:val="clear" w:color="auto" w:fill="auto"/>
            <w:vAlign w:val="center"/>
          </w:tcPr>
          <w:p>
            <w:pPr>
              <w:jc w:val="center"/>
              <w:rPr>
                <w:b/>
                <w:sz w:val="18"/>
                <w:szCs w:val="18"/>
              </w:rPr>
            </w:pPr>
            <w:r>
              <w:rPr>
                <w:rFonts w:hint="eastAsia"/>
                <w:b/>
                <w:sz w:val="18"/>
                <w:szCs w:val="18"/>
              </w:rPr>
              <w:t>指标赋分规则</w:t>
            </w:r>
          </w:p>
        </w:tc>
        <w:tc>
          <w:tcPr>
            <w:tcW w:w="1360" w:type="dxa"/>
            <w:shd w:val="clear" w:color="auto" w:fill="auto"/>
            <w:vAlign w:val="center"/>
          </w:tcPr>
          <w:p>
            <w:pPr>
              <w:jc w:val="center"/>
              <w:rPr>
                <w:b/>
                <w:sz w:val="18"/>
                <w:szCs w:val="18"/>
              </w:rPr>
            </w:pPr>
            <w:r>
              <w:rPr>
                <w:rFonts w:hint="eastAsia"/>
                <w:b/>
                <w:sz w:val="18"/>
                <w:szCs w:val="18"/>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产出指标</w:t>
            </w:r>
          </w:p>
        </w:tc>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数量指标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公务接待次数</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＞=1386次</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8</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质量指标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接待投诉率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8</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continue"/>
            <w:shd w:val="clear" w:color="auto" w:fill="auto"/>
            <w:vAlign w:val="center"/>
          </w:tcPr>
          <w:p>
            <w:pPr>
              <w:jc w:val="center"/>
              <w:rPr>
                <w:rFonts w:hint="eastAsia" w:ascii="宋体" w:hAnsi="宋体"/>
                <w:sz w:val="16"/>
                <w:szCs w:val="16"/>
              </w:rPr>
            </w:pP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接待资金到位率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8</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时效指标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接待及时率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8</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成本指标</w:t>
            </w:r>
          </w:p>
        </w:tc>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经济成本指标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公务接待成本</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＜=277万元</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效益指标</w:t>
            </w:r>
          </w:p>
        </w:tc>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社会效益指标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提升服务水平和餐饮开发水平</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有效提升</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20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按评判等级赋分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服务对象满意度</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＞=95%</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满意度赋分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bl>
    <w:p/>
    <w:p/>
    <w:p/>
    <w:p/>
    <w:p/>
    <w:p/>
    <w:p/>
    <w:p/>
    <w:p/>
    <w:p/>
    <w:p/>
    <w:tbl>
      <w:tblPr>
        <w:tblStyle w:val="8"/>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预算单位</w:t>
            </w:r>
          </w:p>
        </w:tc>
        <w:tc>
          <w:tcPr>
            <w:tcW w:w="8160" w:type="dxa"/>
            <w:gridSpan w:val="8"/>
            <w:shd w:val="clear" w:color="auto" w:fill="auto"/>
            <w:vAlign w:val="center"/>
          </w:tcPr>
          <w:p>
            <w:pPr>
              <w:jc w:val="center"/>
              <w:rPr>
                <w:sz w:val="18"/>
                <w:szCs w:val="18"/>
              </w:rPr>
            </w:pPr>
            <w:r>
              <w:rPr>
                <w:rFonts w:hint="eastAsia"/>
                <w:sz w:val="18"/>
                <w:szCs w:val="18"/>
              </w:rPr>
              <w:t>皮山县机关事务服务中心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rFonts w:hint="eastAsia"/>
                <w:b/>
                <w:sz w:val="18"/>
                <w:szCs w:val="18"/>
              </w:rPr>
            </w:pPr>
            <w:r>
              <w:rPr>
                <w:rFonts w:hint="eastAsia"/>
                <w:b/>
                <w:sz w:val="18"/>
                <w:szCs w:val="18"/>
              </w:rPr>
              <w:t>项目名称</w:t>
            </w:r>
          </w:p>
        </w:tc>
        <w:tc>
          <w:tcPr>
            <w:tcW w:w="5440" w:type="dxa"/>
            <w:gridSpan w:val="6"/>
            <w:shd w:val="clear" w:color="auto" w:fill="auto"/>
            <w:vAlign w:val="center"/>
          </w:tcPr>
          <w:p>
            <w:pPr>
              <w:jc w:val="center"/>
              <w:rPr>
                <w:rFonts w:hint="eastAsia"/>
                <w:b/>
                <w:sz w:val="18"/>
                <w:szCs w:val="18"/>
              </w:rPr>
            </w:pPr>
            <w:r>
              <w:rPr>
                <w:rFonts w:hint="eastAsia"/>
                <w:sz w:val="18"/>
                <w:szCs w:val="18"/>
              </w:rPr>
              <w:t>2025年度车辆运行经费项目</w:t>
            </w:r>
          </w:p>
        </w:tc>
        <w:tc>
          <w:tcPr>
            <w:tcW w:w="1360" w:type="dxa"/>
            <w:shd w:val="clear" w:color="auto" w:fill="auto"/>
            <w:vAlign w:val="center"/>
          </w:tcPr>
          <w:p>
            <w:pPr>
              <w:jc w:val="center"/>
              <w:rPr>
                <w:rFonts w:hint="eastAsia"/>
                <w:sz w:val="18"/>
                <w:szCs w:val="18"/>
              </w:rPr>
            </w:pPr>
            <w:r>
              <w:rPr>
                <w:rFonts w:hint="eastAsia"/>
                <w:b/>
                <w:sz w:val="18"/>
                <w:szCs w:val="18"/>
              </w:rPr>
              <w:t>项目负责人</w:t>
            </w:r>
          </w:p>
        </w:tc>
        <w:tc>
          <w:tcPr>
            <w:tcW w:w="1360" w:type="dxa"/>
            <w:shd w:val="clear" w:color="auto" w:fill="auto"/>
            <w:vAlign w:val="center"/>
          </w:tcPr>
          <w:p>
            <w:pPr>
              <w:jc w:val="center"/>
              <w:rPr>
                <w:rFonts w:hint="eastAsia"/>
                <w:sz w:val="18"/>
                <w:szCs w:val="18"/>
              </w:rPr>
            </w:pPr>
            <w:r>
              <w:rPr>
                <w:rFonts w:hint="eastAsia"/>
                <w:sz w:val="18"/>
                <w:szCs w:val="18"/>
              </w:rPr>
              <w:t>阿布力孜江·阿布都米吉提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项目资金(万元)</w:t>
            </w:r>
          </w:p>
        </w:tc>
        <w:tc>
          <w:tcPr>
            <w:tcW w:w="1360" w:type="dxa"/>
            <w:shd w:val="clear" w:color="auto" w:fill="auto"/>
            <w:vAlign w:val="center"/>
          </w:tcPr>
          <w:p>
            <w:pPr>
              <w:jc w:val="center"/>
              <w:rPr>
                <w:sz w:val="18"/>
                <w:szCs w:val="18"/>
              </w:rPr>
            </w:pPr>
            <w:r>
              <w:rPr>
                <w:rFonts w:hint="eastAsia"/>
                <w:sz w:val="18"/>
                <w:szCs w:val="18"/>
              </w:rPr>
              <w:t>年度预算总额</w:t>
            </w:r>
          </w:p>
        </w:tc>
        <w:tc>
          <w:tcPr>
            <w:tcW w:w="1360" w:type="dxa"/>
            <w:gridSpan w:val="2"/>
            <w:shd w:val="clear" w:color="auto" w:fill="auto"/>
            <w:vAlign w:val="center"/>
          </w:tcPr>
          <w:p>
            <w:pPr>
              <w:jc w:val="center"/>
              <w:rPr>
                <w:sz w:val="18"/>
                <w:szCs w:val="18"/>
              </w:rPr>
            </w:pPr>
            <w:r>
              <w:rPr>
                <w:rFonts w:hint="eastAsia"/>
                <w:sz w:val="18"/>
                <w:szCs w:val="18"/>
                <w:lang w:val="en-US" w:eastAsia="zh-CN"/>
              </w:rPr>
              <w:t>10</w:t>
            </w:r>
            <w:r>
              <w:rPr>
                <w:rFonts w:hint="eastAsia"/>
                <w:sz w:val="18"/>
                <w:szCs w:val="18"/>
              </w:rPr>
              <w:t>.00</w:t>
            </w:r>
          </w:p>
        </w:tc>
        <w:tc>
          <w:tcPr>
            <w:tcW w:w="1360" w:type="dxa"/>
            <w:shd w:val="clear" w:color="auto" w:fill="auto"/>
            <w:vAlign w:val="center"/>
          </w:tcPr>
          <w:p>
            <w:pPr>
              <w:jc w:val="center"/>
              <w:rPr>
                <w:sz w:val="18"/>
                <w:szCs w:val="18"/>
              </w:rPr>
            </w:pPr>
            <w:r>
              <w:rPr>
                <w:rFonts w:hint="eastAsia"/>
                <w:sz w:val="18"/>
                <w:szCs w:val="18"/>
              </w:rPr>
              <w:t>其中：财政拨款</w:t>
            </w:r>
          </w:p>
        </w:tc>
        <w:tc>
          <w:tcPr>
            <w:tcW w:w="1360" w:type="dxa"/>
            <w:gridSpan w:val="2"/>
            <w:shd w:val="clear" w:color="auto" w:fill="auto"/>
            <w:vAlign w:val="center"/>
          </w:tcPr>
          <w:p>
            <w:pPr>
              <w:jc w:val="center"/>
              <w:rPr>
                <w:sz w:val="18"/>
                <w:szCs w:val="18"/>
              </w:rPr>
            </w:pPr>
            <w:r>
              <w:rPr>
                <w:rFonts w:hint="eastAsia"/>
                <w:sz w:val="18"/>
                <w:szCs w:val="18"/>
                <w:lang w:val="en-US" w:eastAsia="zh-CN"/>
              </w:rPr>
              <w:t>10</w:t>
            </w:r>
            <w:r>
              <w:rPr>
                <w:rFonts w:hint="eastAsia"/>
                <w:sz w:val="18"/>
                <w:szCs w:val="18"/>
              </w:rPr>
              <w:t>.00</w:t>
            </w:r>
          </w:p>
        </w:tc>
        <w:tc>
          <w:tcPr>
            <w:tcW w:w="1360" w:type="dxa"/>
            <w:shd w:val="clear" w:color="auto" w:fill="auto"/>
            <w:vAlign w:val="center"/>
          </w:tcPr>
          <w:p>
            <w:pPr>
              <w:jc w:val="center"/>
              <w:rPr>
                <w:sz w:val="18"/>
                <w:szCs w:val="18"/>
              </w:rPr>
            </w:pPr>
            <w:r>
              <w:rPr>
                <w:rFonts w:hint="eastAsia"/>
                <w:sz w:val="18"/>
                <w:szCs w:val="18"/>
              </w:rPr>
              <w:t>其他资金</w:t>
            </w:r>
          </w:p>
        </w:tc>
        <w:tc>
          <w:tcPr>
            <w:tcW w:w="1360" w:type="dxa"/>
            <w:shd w:val="clear" w:color="auto" w:fill="auto"/>
            <w:vAlign w:val="center"/>
          </w:tcPr>
          <w:p>
            <w:pPr>
              <w:jc w:val="center"/>
              <w:rPr>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rPr>
            </w:pPr>
            <w:r>
              <w:rPr>
                <w:rFonts w:hint="eastAsia"/>
                <w:b/>
                <w:sz w:val="18"/>
                <w:szCs w:val="18"/>
              </w:rPr>
              <w:t>项目总体目标</w:t>
            </w:r>
          </w:p>
        </w:tc>
        <w:tc>
          <w:tcPr>
            <w:tcW w:w="8160" w:type="dxa"/>
            <w:gridSpan w:val="8"/>
            <w:shd w:val="clear" w:color="auto" w:fill="auto"/>
            <w:vAlign w:val="center"/>
          </w:tcPr>
          <w:p>
            <w:pPr>
              <w:rPr>
                <w:b/>
                <w:sz w:val="18"/>
                <w:szCs w:val="18"/>
              </w:rPr>
            </w:pPr>
            <w:r>
              <w:rPr>
                <w:rFonts w:hint="eastAsia"/>
                <w:color w:val="000000"/>
                <w:sz w:val="18"/>
                <w:szCs w:val="18"/>
              </w:rPr>
              <w:t>保障2辆公务专业车正常运行；通过项目的实施，提高服务水平和餐饮开发水平，达到宣传推介皮山的效果。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rPr>
            </w:pPr>
            <w:r>
              <w:rPr>
                <w:rFonts w:hint="eastAsia"/>
                <w:b/>
                <w:sz w:val="18"/>
                <w:szCs w:val="18"/>
              </w:rPr>
              <w:t>一级指标</w:t>
            </w:r>
          </w:p>
        </w:tc>
        <w:tc>
          <w:tcPr>
            <w:tcW w:w="680" w:type="dxa"/>
            <w:shd w:val="clear" w:color="auto" w:fill="auto"/>
            <w:vAlign w:val="center"/>
          </w:tcPr>
          <w:p>
            <w:pPr>
              <w:jc w:val="center"/>
              <w:rPr>
                <w:b/>
                <w:sz w:val="18"/>
                <w:szCs w:val="18"/>
              </w:rPr>
            </w:pPr>
            <w:r>
              <w:rPr>
                <w:rFonts w:hint="eastAsia"/>
                <w:b/>
                <w:sz w:val="18"/>
                <w:szCs w:val="18"/>
              </w:rPr>
              <w:t>二级指标</w:t>
            </w:r>
          </w:p>
        </w:tc>
        <w:tc>
          <w:tcPr>
            <w:tcW w:w="2040" w:type="dxa"/>
            <w:gridSpan w:val="2"/>
            <w:shd w:val="clear" w:color="auto" w:fill="auto"/>
            <w:vAlign w:val="center"/>
          </w:tcPr>
          <w:p>
            <w:pPr>
              <w:jc w:val="center"/>
              <w:rPr>
                <w:b/>
                <w:sz w:val="18"/>
                <w:szCs w:val="18"/>
              </w:rPr>
            </w:pPr>
            <w:r>
              <w:rPr>
                <w:rFonts w:hint="eastAsia"/>
                <w:b/>
                <w:sz w:val="18"/>
                <w:szCs w:val="18"/>
              </w:rPr>
              <w:t>三级指标</w:t>
            </w:r>
          </w:p>
        </w:tc>
        <w:tc>
          <w:tcPr>
            <w:tcW w:w="680" w:type="dxa"/>
            <w:shd w:val="clear" w:color="auto" w:fill="auto"/>
            <w:vAlign w:val="center"/>
          </w:tcPr>
          <w:p>
            <w:pPr>
              <w:jc w:val="center"/>
              <w:rPr>
                <w:b/>
                <w:sz w:val="18"/>
                <w:szCs w:val="18"/>
              </w:rPr>
            </w:pPr>
            <w:r>
              <w:rPr>
                <w:rFonts w:hint="eastAsia"/>
                <w:b/>
                <w:sz w:val="18"/>
                <w:szCs w:val="18"/>
              </w:rPr>
              <w:t>指标值</w:t>
            </w:r>
          </w:p>
        </w:tc>
        <w:tc>
          <w:tcPr>
            <w:tcW w:w="1360" w:type="dxa"/>
            <w:shd w:val="clear" w:color="auto" w:fill="auto"/>
            <w:vAlign w:val="center"/>
          </w:tcPr>
          <w:p>
            <w:pPr>
              <w:jc w:val="center"/>
              <w:rPr>
                <w:b/>
                <w:sz w:val="18"/>
                <w:szCs w:val="18"/>
              </w:rPr>
            </w:pPr>
            <w:r>
              <w:rPr>
                <w:rFonts w:hint="eastAsia"/>
                <w:b/>
                <w:sz w:val="18"/>
                <w:szCs w:val="18"/>
              </w:rPr>
              <w:t>指标值设置依据</w:t>
            </w:r>
          </w:p>
        </w:tc>
        <w:tc>
          <w:tcPr>
            <w:tcW w:w="680" w:type="dxa"/>
            <w:shd w:val="clear" w:color="auto" w:fill="auto"/>
            <w:vAlign w:val="center"/>
          </w:tcPr>
          <w:p>
            <w:pPr>
              <w:jc w:val="center"/>
              <w:rPr>
                <w:b/>
                <w:sz w:val="18"/>
                <w:szCs w:val="18"/>
              </w:rPr>
            </w:pPr>
            <w:r>
              <w:rPr>
                <w:rFonts w:hint="eastAsia"/>
                <w:b/>
                <w:sz w:val="18"/>
                <w:szCs w:val="18"/>
              </w:rPr>
              <w:t>上年完成值</w:t>
            </w:r>
          </w:p>
        </w:tc>
        <w:tc>
          <w:tcPr>
            <w:tcW w:w="680" w:type="dxa"/>
            <w:shd w:val="clear" w:color="auto" w:fill="auto"/>
            <w:vAlign w:val="center"/>
          </w:tcPr>
          <w:p>
            <w:pPr>
              <w:jc w:val="center"/>
              <w:rPr>
                <w:b/>
                <w:sz w:val="18"/>
                <w:szCs w:val="18"/>
              </w:rPr>
            </w:pPr>
            <w:r>
              <w:rPr>
                <w:rFonts w:hint="eastAsia"/>
                <w:b/>
                <w:sz w:val="18"/>
                <w:szCs w:val="18"/>
              </w:rPr>
              <w:t>指标分值权重</w:t>
            </w:r>
          </w:p>
        </w:tc>
        <w:tc>
          <w:tcPr>
            <w:tcW w:w="1360" w:type="dxa"/>
            <w:shd w:val="clear" w:color="auto" w:fill="auto"/>
            <w:vAlign w:val="center"/>
          </w:tcPr>
          <w:p>
            <w:pPr>
              <w:jc w:val="center"/>
              <w:rPr>
                <w:b/>
                <w:sz w:val="18"/>
                <w:szCs w:val="18"/>
              </w:rPr>
            </w:pPr>
            <w:r>
              <w:rPr>
                <w:rFonts w:hint="eastAsia"/>
                <w:b/>
                <w:sz w:val="18"/>
                <w:szCs w:val="18"/>
              </w:rPr>
              <w:t>指标赋分规则</w:t>
            </w:r>
          </w:p>
        </w:tc>
        <w:tc>
          <w:tcPr>
            <w:tcW w:w="1360" w:type="dxa"/>
            <w:shd w:val="clear" w:color="auto" w:fill="auto"/>
            <w:vAlign w:val="center"/>
          </w:tcPr>
          <w:p>
            <w:pPr>
              <w:jc w:val="center"/>
              <w:rPr>
                <w:b/>
                <w:sz w:val="18"/>
                <w:szCs w:val="18"/>
              </w:rPr>
            </w:pPr>
            <w:r>
              <w:rPr>
                <w:rFonts w:hint="eastAsia"/>
                <w:b/>
                <w:sz w:val="18"/>
                <w:szCs w:val="18"/>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保障正常运行车辆数量</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＞=2辆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8</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质量指标</w:t>
            </w:r>
          </w:p>
        </w:tc>
        <w:tc>
          <w:tcPr>
            <w:tcW w:w="2040" w:type="dxa"/>
            <w:gridSpan w:val="2"/>
            <w:shd w:val="clear" w:color="auto" w:fill="auto"/>
            <w:vAlign w:val="center"/>
          </w:tcPr>
          <w:p>
            <w:pPr>
              <w:jc w:val="center"/>
              <w:rPr>
                <w:rFonts w:hint="eastAsia" w:ascii="宋体" w:hAnsi="宋体"/>
                <w:sz w:val="16"/>
                <w:szCs w:val="16"/>
              </w:rPr>
            </w:pPr>
            <w:r>
              <w:rPr>
                <w:rFonts w:hint="eastAsia" w:ascii="宋体" w:hAnsi="宋体"/>
                <w:sz w:val="16"/>
                <w:szCs w:val="16"/>
                <w:lang w:eastAsia="zh-CN"/>
              </w:rPr>
              <w:t>派车</w:t>
            </w:r>
            <w:r>
              <w:rPr>
                <w:rFonts w:hint="default" w:ascii="宋体" w:hAnsi="宋体"/>
                <w:sz w:val="16"/>
                <w:szCs w:val="16"/>
              </w:rPr>
              <w:t>投诉率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8</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continue"/>
            <w:shd w:val="clear" w:color="auto" w:fill="auto"/>
            <w:vAlign w:val="center"/>
          </w:tcPr>
          <w:p>
            <w:pPr>
              <w:jc w:val="center"/>
              <w:rPr>
                <w:rFonts w:hint="eastAsia" w:ascii="宋体" w:hAnsi="宋体"/>
                <w:sz w:val="16"/>
                <w:szCs w:val="16"/>
              </w:rPr>
            </w:pPr>
          </w:p>
        </w:tc>
        <w:tc>
          <w:tcPr>
            <w:tcW w:w="2040" w:type="dxa"/>
            <w:gridSpan w:val="2"/>
            <w:shd w:val="clear" w:color="auto" w:fill="auto"/>
            <w:vAlign w:val="center"/>
          </w:tcPr>
          <w:p>
            <w:pPr>
              <w:jc w:val="center"/>
              <w:rPr>
                <w:rFonts w:hint="eastAsia" w:ascii="宋体" w:hAnsi="宋体"/>
                <w:sz w:val="16"/>
                <w:szCs w:val="16"/>
              </w:rPr>
            </w:pPr>
            <w:r>
              <w:rPr>
                <w:rFonts w:hint="eastAsia" w:ascii="宋体" w:hAnsi="宋体"/>
                <w:sz w:val="16"/>
                <w:szCs w:val="16"/>
                <w:lang w:eastAsia="zh-CN"/>
              </w:rPr>
              <w:t>车辆保障</w:t>
            </w:r>
            <w:r>
              <w:rPr>
                <w:rFonts w:hint="default" w:ascii="宋体" w:hAnsi="宋体"/>
                <w:sz w:val="16"/>
                <w:szCs w:val="16"/>
              </w:rPr>
              <w:t>资金到位率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8</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时效指标</w:t>
            </w:r>
          </w:p>
        </w:tc>
        <w:tc>
          <w:tcPr>
            <w:tcW w:w="2040" w:type="dxa"/>
            <w:gridSpan w:val="2"/>
            <w:shd w:val="clear" w:color="auto" w:fill="auto"/>
            <w:vAlign w:val="center"/>
          </w:tcPr>
          <w:p>
            <w:pPr>
              <w:jc w:val="center"/>
              <w:rPr>
                <w:rFonts w:hint="eastAsia" w:ascii="宋体" w:hAnsi="宋体"/>
                <w:sz w:val="16"/>
                <w:szCs w:val="16"/>
              </w:rPr>
            </w:pPr>
            <w:r>
              <w:rPr>
                <w:rFonts w:hint="eastAsia" w:ascii="宋体" w:hAnsi="宋体"/>
                <w:sz w:val="16"/>
                <w:szCs w:val="16"/>
                <w:lang w:eastAsia="zh-CN"/>
              </w:rPr>
              <w:t>派车</w:t>
            </w:r>
            <w:r>
              <w:rPr>
                <w:rFonts w:hint="default" w:ascii="宋体" w:hAnsi="宋体"/>
                <w:sz w:val="16"/>
                <w:szCs w:val="16"/>
              </w:rPr>
              <w:t>及时率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8</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continue"/>
            <w:shd w:val="clear" w:color="auto" w:fill="auto"/>
            <w:vAlign w:val="center"/>
          </w:tcPr>
          <w:p>
            <w:pPr>
              <w:jc w:val="center"/>
              <w:rPr>
                <w:rFonts w:hint="eastAsia" w:ascii="宋体" w:hAnsi="宋体"/>
                <w:sz w:val="16"/>
                <w:szCs w:val="16"/>
              </w:rPr>
            </w:pP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车辆正常运行经费成本</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＜=10万元</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效益指标</w:t>
            </w: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社会效益指标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提升服务水平</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有效提升</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20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按评判等级赋分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服务对象满意度</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＞=95%</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满意度赋分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bl>
    <w:p/>
    <w:p>
      <w:pPr>
        <w:pStyle w:val="4"/>
        <w:numPr>
          <w:ilvl w:val="0"/>
          <w:numId w:val="4"/>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其他需说明的事项</w:t>
      </w:r>
    </w:p>
    <w:p>
      <w:pPr>
        <w:rPr>
          <w:rFonts w:hint="default"/>
        </w:rPr>
      </w:pP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1、面向中小企业预留政府采购项目预算因无法确保充分供应、充分竞争，或者存在可能影响政府采购目标实现的情形，所以未安排面向中小企业预留政府采购项目预算。</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2、因单位固定资产系统刚办理，单位固定资产还未录入到固定资产系统里面。</w:t>
      </w:r>
    </w:p>
    <w:p>
      <w:pPr>
        <w:pStyle w:val="2"/>
        <w:spacing w:before="156" w:beforeLines="50" w:after="156" w:afterLines="50" w:line="560" w:lineRule="exact"/>
        <w:jc w:val="center"/>
        <w:rPr>
          <w:rFonts w:hint="default" w:ascii="黑体" w:eastAsia="黑体"/>
          <w:sz w:val="30"/>
          <w:szCs w:val="30"/>
        </w:rPr>
      </w:pPr>
      <w:r>
        <w:rPr>
          <w:rFonts w:hint="default" w:ascii="黑体" w:eastAsia="黑体"/>
          <w:sz w:val="30"/>
          <w:szCs w:val="30"/>
        </w:rPr>
        <w:br w:type="page"/>
      </w:r>
      <w:r>
        <w:rPr>
          <w:rFonts w:hint="eastAsia" w:ascii="黑体" w:eastAsia="黑体"/>
          <w:sz w:val="30"/>
          <w:szCs w:val="30"/>
        </w:rPr>
        <w:t>第四部分 名词解释</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一、财政拨款:</w:t>
      </w:r>
      <w:r>
        <w:rPr>
          <w:rFonts w:hint="eastAsia" w:ascii="仿宋" w:hAnsi="CIDFont+F6" w:eastAsia="仿宋"/>
          <w:color w:val="000000"/>
          <w:sz w:val="28"/>
          <w:szCs w:val="28"/>
        </w:rPr>
        <w:t>指由一般公共预算、政府性基金预算、国有资本经营预算安排的财政拨款数。</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二、一般公共预算:</w:t>
      </w:r>
      <w:r>
        <w:rPr>
          <w:rFonts w:hint="eastAsia" w:ascii="仿宋" w:hAnsi="CIDFont+F6" w:eastAsia="仿宋"/>
          <w:color w:val="000000"/>
          <w:sz w:val="28"/>
          <w:szCs w:val="28"/>
        </w:rPr>
        <w:t>包括公共财政拨款（补助）资金、专项收入。</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三、财政专户管理资金:</w:t>
      </w:r>
      <w:r>
        <w:rPr>
          <w:rFonts w:hint="eastAsia" w:ascii="仿宋" w:hAnsi="CIDFont+F6" w:eastAsia="仿宋"/>
          <w:color w:val="000000"/>
          <w:sz w:val="28"/>
          <w:szCs w:val="28"/>
        </w:rPr>
        <w:t>包括专户管理行政事业性收费（主要是教育收费）、其他非税收入。</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四、其他资金:</w:t>
      </w:r>
      <w:r>
        <w:rPr>
          <w:rFonts w:hint="eastAsia" w:ascii="仿宋" w:hAnsi="CIDFont+F6" w:eastAsia="仿宋"/>
          <w:color w:val="000000"/>
          <w:sz w:val="28"/>
          <w:szCs w:val="28"/>
        </w:rPr>
        <w:t>包括事业收入、事业经营收入、其他收入等。</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五、基本支出:</w:t>
      </w:r>
      <w:r>
        <w:rPr>
          <w:rFonts w:hint="eastAsia" w:ascii="仿宋" w:hAnsi="CIDFont+F6" w:eastAsia="仿宋"/>
          <w:color w:val="000000"/>
          <w:sz w:val="28"/>
          <w:szCs w:val="28"/>
        </w:rPr>
        <w:t>包括人员经费、公用经费（定额）。其中，人员经费包括工资福利支出、对个人和家庭的补助。</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六、项目支出:</w:t>
      </w:r>
      <w:r>
        <w:rPr>
          <w:rFonts w:hint="eastAsia" w:ascii="仿宋" w:hAnsi="CIDFont+F6" w:eastAsia="仿宋"/>
          <w:color w:val="000000"/>
          <w:sz w:val="28"/>
          <w:szCs w:val="28"/>
        </w:rPr>
        <w:t>部门（单位）支出预算的组成部分，是各部门（单位）为完成其特定的行政任务或事业发展目标，在基本支出预算之外编制的年度项目支出计划。</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七、“三公”经费:</w:t>
      </w:r>
      <w:r>
        <w:rPr>
          <w:rFonts w:hint="eastAsia" w:ascii="仿宋" w:hAnsi="CIDFont+F6" w:eastAsia="仿宋"/>
          <w:color w:val="000000"/>
          <w:sz w:val="28"/>
          <w:szCs w:val="28"/>
        </w:rPr>
        <w:t>指部门（单位）因公出国（境）费、公务用车购置及运行维护费和公务接待费，其中:因公出国（境）费反映机关和参公事业单位公务出国（境）的国际旅费、国外城市间交通费、住宿费、伙食费、培训费、公杂费等支出；公务用车购置反映机关和参公事业单位公务用车购置支出（含车辆购置税、牌照费）；公务用车运行维护费反映机关和参公事业单位按规定保留的公务用车燃料费、新能源汽车充电费、维修费、过桥过路费、保险费、安全奖励费用等支出；公务接待费反映机关和参公事业单位按规定开支的各类公务接待（含外宾接待）费用。</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八、机关运行经费:</w:t>
      </w:r>
      <w:r>
        <w:rPr>
          <w:rFonts w:hint="eastAsia" w:ascii="仿宋" w:hAnsi="CIDFont+F6" w:eastAsia="仿宋"/>
          <w:color w:val="000000"/>
          <w:sz w:val="28"/>
          <w:szCs w:val="28"/>
        </w:rPr>
        <w:t>指行政单位（含参照公务员法管理事业单位）的公用经费，包括办公及印刷费、邮电费、差旅费、会议费、福利费、日常维修费、专用材料及一般设备购置费、办公用房水电费、办公用房取暖费、办公用房物业管理费、公务用车运行维护费及其他费用。</w:t>
      </w:r>
    </w:p>
    <w:p>
      <w:pPr>
        <w:spacing w:line="560" w:lineRule="exact"/>
        <w:jc w:val="right"/>
        <w:rPr>
          <w:rFonts w:hint="eastAsia" w:ascii="仿宋" w:hAnsi="CIDFont+F6" w:eastAsia="仿宋"/>
          <w:color w:val="000000"/>
          <w:sz w:val="28"/>
          <w:szCs w:val="28"/>
        </w:rPr>
      </w:pPr>
      <w:r>
        <w:rPr>
          <w:rFonts w:hint="eastAsia" w:ascii="仿宋" w:hAnsi="CIDFont+F6" w:eastAsia="仿宋"/>
          <w:color w:val="000000"/>
          <w:sz w:val="28"/>
          <w:szCs w:val="28"/>
        </w:rPr>
        <w:t>皮山县机关事务服务中心</w:t>
      </w:r>
    </w:p>
    <w:p>
      <w:pPr>
        <w:spacing w:line="560" w:lineRule="exact"/>
        <w:jc w:val="right"/>
        <w:rPr>
          <w:rFonts w:hint="default" w:ascii="仿宋" w:eastAsia="仿宋"/>
          <w:sz w:val="28"/>
          <w:szCs w:val="28"/>
        </w:rPr>
      </w:pPr>
      <w:r>
        <w:rPr>
          <w:rFonts w:hint="eastAsia" w:ascii="仿宋" w:hAnsi="CIDFont+F6" w:eastAsia="仿宋"/>
          <w:color w:val="000000"/>
          <w:sz w:val="28"/>
          <w:szCs w:val="28"/>
        </w:rPr>
        <w:t>2025年2月8日</w:t>
      </w:r>
    </w:p>
    <w:sectPr>
      <w:pgSz w:w="11906" w:h="16838"/>
      <w:pgMar w:top="1134" w:right="1134" w:bottom="1134" w:left="113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ArialUnicodeM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IDFont+F6">
    <w:altName w:val="Times New Roman"/>
    <w:panose1 w:val="00000000000000000000"/>
    <w:charset w:val="00"/>
    <w:family w:val="auto"/>
    <w:pitch w:val="default"/>
    <w:sig w:usb0="00000000" w:usb1="00000000" w:usb2="00000000" w:usb3="00000000" w:csb0="00000000" w:csb1="00000000"/>
  </w:font>
  <w:font w:name="CIDFont+F4">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3"/>
        <w:tab w:val="right" w:pos="8306"/>
      </w:tabs>
      <w:jc w:val="center"/>
    </w:pPr>
    <w:r>
      <w:fldChar w:fldCharType="begin"/>
    </w:r>
    <w:r>
      <w:instrText xml:space="preserve">PAGE   \* MERGEFORMAT</w:instrText>
    </w:r>
    <w:r>
      <w:fldChar w:fldCharType="separate"/>
    </w:r>
    <w:r>
      <w:rPr>
        <w:lang w:val="zh-CN"/>
      </w:rPr>
      <w:t>17</w:t>
    </w:r>
    <w:r>
      <w:fldChar w:fldCharType="end"/>
    </w:r>
  </w:p>
  <w:p>
    <w:pPr>
      <w:pStyle w:val="5"/>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DFD9E9"/>
    <w:multiLevelType w:val="singleLevel"/>
    <w:tmpl w:val="83DFD9E9"/>
    <w:lvl w:ilvl="0" w:tentative="0">
      <w:start w:val="1"/>
      <w:numFmt w:val="chineseCounting"/>
      <w:suff w:val="nothing"/>
      <w:lvlText w:val="（%1）"/>
      <w:lvlJc w:val="left"/>
      <w:rPr>
        <w:rFonts w:hint="eastAsia"/>
      </w:rPr>
    </w:lvl>
  </w:abstractNum>
  <w:abstractNum w:abstractNumId="1">
    <w:nsid w:val="92B3C91D"/>
    <w:multiLevelType w:val="multilevel"/>
    <w:tmpl w:val="92B3C91D"/>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94393178"/>
    <w:multiLevelType w:val="multilevel"/>
    <w:tmpl w:val="94393178"/>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5764C79"/>
    <w:multiLevelType w:val="multilevel"/>
    <w:tmpl w:val="65764C79"/>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5E5D"/>
    <w:rsid w:val="2DF3533A"/>
    <w:rsid w:val="4603518A"/>
    <w:rsid w:val="48727630"/>
    <w:rsid w:val="5DEA079D"/>
    <w:rsid w:val="69864915"/>
    <w:rsid w:val="72356E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rPr>
  </w:style>
  <w:style w:type="paragraph" w:styleId="2">
    <w:name w:val="heading 1"/>
    <w:basedOn w:val="1"/>
    <w:next w:val="1"/>
    <w:link w:val="11"/>
    <w:qFormat/>
    <w:uiPriority w:val="0"/>
    <w:pPr>
      <w:keepNext/>
      <w:keepLines/>
      <w:spacing w:before="340" w:after="330" w:line="578" w:lineRule="auto"/>
      <w:outlineLvl w:val="0"/>
    </w:pPr>
    <w:rPr>
      <w:rFonts w:hint="default" w:ascii="Times New Roman" w:hAnsi="Times New Roman"/>
      <w:b/>
      <w:kern w:val="44"/>
      <w:sz w:val="44"/>
      <w:szCs w:val="44"/>
    </w:rPr>
  </w:style>
  <w:style w:type="paragraph" w:styleId="3">
    <w:name w:val="heading 2"/>
    <w:basedOn w:val="1"/>
    <w:next w:val="1"/>
    <w:link w:val="12"/>
    <w:qFormat/>
    <w:uiPriority w:val="0"/>
    <w:pPr>
      <w:keepNext/>
      <w:keepLines/>
      <w:spacing w:before="260" w:after="260" w:line="416" w:lineRule="auto"/>
      <w:outlineLvl w:val="1"/>
    </w:pPr>
    <w:rPr>
      <w:rFonts w:hint="default" w:ascii="Cambria" w:hAnsi="Cambria"/>
      <w:b/>
      <w:sz w:val="32"/>
      <w:szCs w:val="32"/>
    </w:rPr>
  </w:style>
  <w:style w:type="paragraph" w:styleId="4">
    <w:name w:val="heading 3"/>
    <w:basedOn w:val="1"/>
    <w:next w:val="1"/>
    <w:link w:val="13"/>
    <w:qFormat/>
    <w:uiPriority w:val="0"/>
    <w:pPr>
      <w:keepNext/>
      <w:keepLines/>
      <w:spacing w:before="260" w:after="260" w:line="416" w:lineRule="auto"/>
      <w:outlineLvl w:val="2"/>
    </w:pPr>
    <w:rPr>
      <w:rFonts w:hint="default" w:ascii="Times New Roman" w:hAnsi="Times New Roman"/>
      <w:b/>
      <w:sz w:val="32"/>
      <w:szCs w:val="32"/>
    </w:rPr>
  </w:style>
  <w:style w:type="character" w:default="1" w:styleId="7">
    <w:name w:val="Default Paragraph Font"/>
    <w:qFormat/>
    <w:uiPriority w:val="0"/>
  </w:style>
  <w:style w:type="table" w:default="1" w:styleId="8">
    <w:name w:val="Normal Table"/>
    <w:uiPriority w:val="0"/>
    <w:rPr>
      <w:lang w:val="en-US" w:eastAsia="zh-CN"/>
    </w:rPr>
    <w:tblPr>
      <w:tblLayout w:type="fixed"/>
      <w:tblCellMar>
        <w:top w:w="0" w:type="dxa"/>
        <w:left w:w="108" w:type="dxa"/>
        <w:bottom w:w="0" w:type="dxa"/>
        <w:right w:w="108" w:type="dxa"/>
      </w:tblCellMar>
    </w:tblPr>
  </w:style>
  <w:style w:type="paragraph" w:styleId="5">
    <w:name w:val="footer"/>
    <w:basedOn w:val="1"/>
    <w:link w:val="15"/>
    <w:qFormat/>
    <w:uiPriority w:val="0"/>
    <w:pPr>
      <w:snapToGrid w:val="0"/>
      <w:jc w:val="left"/>
    </w:pPr>
    <w:rPr>
      <w:sz w:val="18"/>
      <w:szCs w:val="18"/>
    </w:rPr>
  </w:style>
  <w:style w:type="paragraph" w:styleId="6">
    <w:name w:val="header"/>
    <w:basedOn w:val="1"/>
    <w:link w:val="14"/>
    <w:qFormat/>
    <w:uiPriority w:val="0"/>
    <w:pPr>
      <w:pBdr>
        <w:bottom w:val="single" w:color="auto" w:sz="6" w:space="1"/>
      </w:pBdr>
      <w:snapToGrid w:val="0"/>
      <w:jc w:val="center"/>
    </w:pPr>
    <w:rPr>
      <w:sz w:val="18"/>
      <w:szCs w:val="18"/>
    </w:rPr>
  </w:style>
  <w:style w:type="table" w:styleId="9">
    <w:name w:val="Table Grid"/>
    <w:basedOn w:val="8"/>
    <w:qFormat/>
    <w:uiPriority w:val="0"/>
    <w:rPr>
      <w:lang w:val="en-US"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
    <w:basedOn w:val="1"/>
    <w:qFormat/>
    <w:uiPriority w:val="0"/>
    <w:pPr>
      <w:ind w:firstLine="420" w:firstLineChars="200"/>
    </w:pPr>
  </w:style>
  <w:style w:type="character" w:customStyle="1" w:styleId="11">
    <w:name w:val="标题 1 Char"/>
    <w:link w:val="2"/>
    <w:qFormat/>
    <w:uiPriority w:val="0"/>
    <w:rPr>
      <w:rFonts w:hint="default" w:ascii="Times New Roman" w:hAnsi="Times New Roman"/>
      <w:b/>
      <w:kern w:val="44"/>
      <w:sz w:val="44"/>
      <w:szCs w:val="44"/>
    </w:rPr>
  </w:style>
  <w:style w:type="character" w:customStyle="1" w:styleId="12">
    <w:name w:val="标题 2 Char"/>
    <w:link w:val="3"/>
    <w:qFormat/>
    <w:uiPriority w:val="0"/>
    <w:rPr>
      <w:rFonts w:hint="default" w:ascii="Cambria" w:hAnsi="Cambria"/>
      <w:b/>
      <w:kern w:val="2"/>
      <w:sz w:val="32"/>
      <w:szCs w:val="32"/>
    </w:rPr>
  </w:style>
  <w:style w:type="character" w:customStyle="1" w:styleId="13">
    <w:name w:val="标题 3 Char"/>
    <w:link w:val="4"/>
    <w:qFormat/>
    <w:uiPriority w:val="0"/>
    <w:rPr>
      <w:rFonts w:hint="default" w:ascii="Times New Roman" w:hAnsi="Times New Roman"/>
      <w:b/>
      <w:kern w:val="2"/>
      <w:sz w:val="32"/>
      <w:szCs w:val="32"/>
    </w:rPr>
  </w:style>
  <w:style w:type="character" w:customStyle="1" w:styleId="14">
    <w:name w:val="页眉 Char"/>
    <w:link w:val="6"/>
    <w:qFormat/>
    <w:uiPriority w:val="0"/>
    <w:rPr>
      <w:kern w:val="2"/>
      <w:sz w:val="18"/>
      <w:szCs w:val="18"/>
    </w:rPr>
  </w:style>
  <w:style w:type="character" w:customStyle="1" w:styleId="15">
    <w:name w:val="页脚 Char"/>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beijing</Company>
  <Pages>29</Pages>
  <Words>855</Words>
  <Characters>4878</Characters>
  <Lines>40</Lines>
  <Paragraphs>11</Paragraphs>
  <TotalTime>84</TotalTime>
  <ScaleCrop>false</ScaleCrop>
  <LinksUpToDate>false</LinksUpToDate>
  <CharactersWithSpaces>5722</CharactersWithSpaces>
  <Application>WPS Office_10.8.2.6837_F1E327BC-269C-435d-A152-05C5408002CA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2020-11-10T12:53:00Z</dcterms:created>
  <dc:creator>home</dc:creator>
  <cp:lastModifiedBy>Administrator</cp:lastModifiedBy>
  <dcterms:modified xsi:type="dcterms:W3CDTF">2025-10-31T03:37:59Z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CDC5A3A16D1D4A32ADC5AEF8951B4B96_13</vt:lpwstr>
  </property>
</Properties>
</file>