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ArialUnicodeMS" w:eastAsia="黑体"/>
          <w:color w:val="000000"/>
          <w:sz w:val="44"/>
          <w:szCs w:val="44"/>
          <w:highlight w:val="none"/>
          <w:lang w:eastAsia="zh-CN"/>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r>
        <w:rPr>
          <w:rFonts w:hint="eastAsia" w:ascii="黑体" w:hAnsi="ArialUnicodeMS" w:eastAsia="黑体"/>
          <w:color w:val="000000"/>
          <w:sz w:val="44"/>
          <w:szCs w:val="44"/>
          <w:highlight w:val="none"/>
        </w:rPr>
        <w:t>皮山县社会保险服务中心</w:t>
      </w: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r>
        <w:rPr>
          <w:rFonts w:hint="eastAsia" w:ascii="黑体" w:hAnsi="ArialUnicodeMS" w:eastAsia="黑体"/>
          <w:color w:val="000000"/>
          <w:sz w:val="44"/>
          <w:szCs w:val="44"/>
          <w:highlight w:val="none"/>
        </w:rPr>
        <w:t>2025年部门预算公开</w:t>
      </w:r>
    </w:p>
    <w:p>
      <w:pPr>
        <w:jc w:val="center"/>
        <w:rPr>
          <w:rFonts w:ascii="黑体" w:eastAsia="黑体"/>
          <w:color w:val="000000"/>
          <w:sz w:val="36"/>
          <w:szCs w:val="36"/>
          <w:highlight w:val="none"/>
        </w:rPr>
      </w:pPr>
      <w:r>
        <w:rPr>
          <w:rFonts w:hint="eastAsia" w:ascii="ArialUnicodeMS" w:hAnsi="ArialUnicodeMS"/>
          <w:color w:val="000000"/>
          <w:sz w:val="44"/>
          <w:szCs w:val="44"/>
          <w:highlight w:val="none"/>
        </w:rPr>
        <w:br w:type="page"/>
      </w:r>
      <w:r>
        <w:rPr>
          <w:rFonts w:hint="eastAsia" w:ascii="黑体" w:eastAsia="黑体"/>
          <w:color w:val="000000"/>
          <w:sz w:val="36"/>
          <w:szCs w:val="36"/>
          <w:highlight w:val="none"/>
        </w:rPr>
        <w:t>目 录</w:t>
      </w:r>
    </w:p>
    <w:p>
      <w:pPr>
        <w:spacing w:line="560" w:lineRule="exact"/>
        <w:jc w:val="center"/>
        <w:rPr>
          <w:rFonts w:ascii="黑体" w:eastAsia="黑体"/>
          <w:color w:val="000000"/>
          <w:sz w:val="36"/>
          <w:szCs w:val="36"/>
          <w:highlight w:val="none"/>
        </w:rPr>
      </w:pP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第一部分  2025年部门概况</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主要职能</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机构设置及人员情况</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第二部分 2025年部门预算公开表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部门收支总体情况表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部门收入总体情况表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三、 部门支出总体情况表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四、 财政拨款收支预算总体情况表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五、 一般公共预算支出情况表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六、 一般公共预算基本支出情况表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七、 一般公共预算项目支出情况表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八、 政府性基金预算支出情况表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九、 国有资本经营预算支出情况表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 财政拨款“三公”经费支出情况表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十一、 上年结转结余情况明细表</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第三部分 2025年部门预算情况说明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关于皮山县社会保险服务中心2025年收支预算情况的总体说明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关于皮山县社会保险服务中心2025年收入预算情况说明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三、 关于皮山县社会保险服务中心2025年支出预算情况说明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四、 关于皮山县社会保险服务中心2025年财政拨款收支预算情况的总体说明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五、 关于皮山县社会保险服务中心2025年一般公共预算当年拨款情况说明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六、 关于皮山县社会保险服务中心2025年一般公共预算基本支出情况说明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七、 关于皮山县社会保险服务中心2025年一般公共预算项目支出情况说明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八、 关于皮山县社会保险服务中心2025年政府性基金预算拨款情况说明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九、 关于皮山县社会保险服务中心2025年国有资本经营预算拨款情况说明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 关于皮山县社会保险服务中心2025年财政拨款“三公”经费预算情况说明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十一、 关于皮山县社会保险服务中心2025年上年结转结余预算情况说明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十二、 其他重要事项的情况说明</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第四部分 名词解释</w:t>
      </w:r>
    </w:p>
    <w:p>
      <w:pPr>
        <w:jc w:val="left"/>
        <w:rPr>
          <w:rFonts w:hint="eastAsia" w:ascii="宋体" w:hAnsi="宋体"/>
          <w:color w:val="000000"/>
          <w:sz w:val="18"/>
          <w:szCs w:val="18"/>
          <w:highlight w:val="none"/>
        </w:rPr>
      </w:pPr>
    </w:p>
    <w:p>
      <w:pPr>
        <w:pStyle w:val="2"/>
        <w:spacing w:before="156" w:beforeLines="50" w:after="156" w:afterLines="50" w:line="560" w:lineRule="exact"/>
        <w:jc w:val="center"/>
        <w:rPr>
          <w:rFonts w:ascii="黑体" w:eastAsia="黑体"/>
          <w:sz w:val="30"/>
          <w:szCs w:val="30"/>
          <w:highlight w:val="none"/>
        </w:rPr>
      </w:pPr>
      <w:r>
        <w:rPr>
          <w:rFonts w:ascii="黑体" w:eastAsia="黑体"/>
          <w:sz w:val="30"/>
          <w:szCs w:val="30"/>
          <w:highlight w:val="none"/>
        </w:rPr>
        <w:br w:type="page"/>
      </w:r>
      <w:r>
        <w:rPr>
          <w:rFonts w:hint="eastAsia" w:ascii="黑体" w:eastAsia="黑体"/>
          <w:sz w:val="30"/>
          <w:szCs w:val="30"/>
          <w:highlight w:val="none"/>
        </w:rPr>
        <w:t>第一部分  2025年部门概况</w:t>
      </w:r>
    </w:p>
    <w:p>
      <w:pPr>
        <w:pStyle w:val="3"/>
        <w:numPr>
          <w:ilvl w:val="0"/>
          <w:numId w:val="1"/>
        </w:numPr>
        <w:spacing w:before="0" w:after="0" w:line="560" w:lineRule="exact"/>
        <w:ind w:left="0" w:firstLine="565" w:firstLineChars="201"/>
        <w:rPr>
          <w:rFonts w:hint="eastAsia" w:ascii="仿宋" w:hAnsi="华文楷体" w:eastAsia="仿宋"/>
          <w:sz w:val="28"/>
          <w:szCs w:val="28"/>
          <w:highlight w:val="none"/>
        </w:rPr>
      </w:pPr>
      <w:r>
        <w:rPr>
          <w:rFonts w:hint="eastAsia" w:ascii="仿宋" w:hAnsi="华文楷体" w:eastAsia="仿宋"/>
          <w:sz w:val="28"/>
          <w:szCs w:val="28"/>
          <w:highlight w:val="none"/>
        </w:rPr>
        <w:t>主要职能</w:t>
      </w:r>
    </w:p>
    <w:p>
      <w:pPr>
        <w:pStyle w:val="10"/>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统筹建立覆盖全县城乡的社会保障体系，落实国家、自治区、地区城乡社会保险及其补充保险政策和标准；贯彻落实国家统一的社会保险关系转续办法；贯彻执行机关企事业单位基本养老保险办法；贯彻执行社会保险及其补充保险基本管理和监督办法，编制皮山县社会保险基金预决算草案；统筹管理指导皮山县养老保险</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工伤保险</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失业保险的征缴和待遇发放。</w:t>
      </w:r>
    </w:p>
    <w:p>
      <w:pPr>
        <w:pStyle w:val="3"/>
        <w:numPr>
          <w:ilvl w:val="0"/>
          <w:numId w:val="1"/>
        </w:numPr>
        <w:spacing w:before="0" w:after="0" w:line="560" w:lineRule="exact"/>
        <w:ind w:left="0" w:firstLine="565" w:firstLineChars="201"/>
        <w:rPr>
          <w:rFonts w:hint="eastAsia" w:ascii="仿宋" w:hAnsi="华文楷体" w:eastAsia="仿宋"/>
          <w:sz w:val="28"/>
          <w:szCs w:val="28"/>
          <w:highlight w:val="none"/>
        </w:rPr>
      </w:pPr>
      <w:r>
        <w:rPr>
          <w:rFonts w:hint="eastAsia" w:ascii="仿宋" w:hAnsi="华文楷体" w:eastAsia="仿宋"/>
          <w:sz w:val="28"/>
          <w:szCs w:val="28"/>
          <w:highlight w:val="none"/>
        </w:rPr>
        <w:t>机构设置及人员情况</w:t>
      </w:r>
    </w:p>
    <w:p>
      <w:pPr>
        <w:pStyle w:val="10"/>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皮山县社会保险服务中心无下属预算单位，下设2个科室，分别是：社保大厅</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财务室。</w:t>
      </w:r>
    </w:p>
    <w:p>
      <w:pPr>
        <w:pStyle w:val="10"/>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皮山县社会保险服务中心编制数17人，实有人数28人，其中：在职</w:t>
      </w:r>
      <w:r>
        <w:rPr>
          <w:rFonts w:hint="eastAsia" w:ascii="仿宋" w:hAnsi="仿宋" w:eastAsia="仿宋"/>
          <w:color w:val="000000"/>
          <w:sz w:val="28"/>
          <w:szCs w:val="28"/>
          <w:highlight w:val="none"/>
          <w:lang w:val="en-US" w:eastAsia="zh-CN"/>
        </w:rPr>
        <w:t>13</w:t>
      </w:r>
      <w:r>
        <w:rPr>
          <w:rFonts w:hint="eastAsia" w:ascii="仿宋" w:hAnsi="仿宋" w:eastAsia="仿宋"/>
          <w:color w:val="000000"/>
          <w:sz w:val="28"/>
          <w:szCs w:val="28"/>
          <w:highlight w:val="none"/>
        </w:rPr>
        <w:t>人，</w:t>
      </w:r>
      <w:r>
        <w:rPr>
          <w:rFonts w:hint="eastAsia" w:ascii="仿宋" w:hAnsi="仿宋" w:eastAsia="仿宋"/>
          <w:color w:val="000000"/>
          <w:sz w:val="28"/>
          <w:szCs w:val="28"/>
          <w:highlight w:val="none"/>
          <w:lang w:val="en-US" w:eastAsia="zh-CN"/>
        </w:rPr>
        <w:t>减少2</w:t>
      </w:r>
      <w:r>
        <w:rPr>
          <w:rFonts w:hint="eastAsia" w:ascii="仿宋" w:hAnsi="仿宋" w:eastAsia="仿宋"/>
          <w:color w:val="000000"/>
          <w:sz w:val="28"/>
          <w:szCs w:val="28"/>
          <w:highlight w:val="none"/>
        </w:rPr>
        <w:t>人；退休1</w:t>
      </w:r>
      <w:r>
        <w:rPr>
          <w:rFonts w:hint="eastAsia" w:ascii="仿宋" w:hAnsi="仿宋" w:eastAsia="仿宋"/>
          <w:color w:val="000000"/>
          <w:sz w:val="28"/>
          <w:szCs w:val="28"/>
          <w:highlight w:val="none"/>
          <w:lang w:val="en-US" w:eastAsia="zh-CN"/>
        </w:rPr>
        <w:t>5</w:t>
      </w:r>
      <w:r>
        <w:rPr>
          <w:rFonts w:hint="eastAsia" w:ascii="仿宋" w:hAnsi="仿宋" w:eastAsia="仿宋"/>
          <w:color w:val="000000"/>
          <w:sz w:val="28"/>
          <w:szCs w:val="28"/>
          <w:highlight w:val="none"/>
        </w:rPr>
        <w:t>人，增加</w:t>
      </w:r>
      <w:r>
        <w:rPr>
          <w:rFonts w:hint="eastAsia" w:ascii="仿宋" w:hAnsi="仿宋" w:eastAsia="仿宋"/>
          <w:color w:val="000000"/>
          <w:sz w:val="28"/>
          <w:szCs w:val="28"/>
          <w:highlight w:val="none"/>
          <w:lang w:val="en-US" w:eastAsia="zh-CN"/>
        </w:rPr>
        <w:t>2</w:t>
      </w:r>
      <w:r>
        <w:rPr>
          <w:rFonts w:hint="eastAsia" w:ascii="仿宋" w:hAnsi="仿宋" w:eastAsia="仿宋"/>
          <w:color w:val="000000"/>
          <w:sz w:val="28"/>
          <w:szCs w:val="28"/>
          <w:highlight w:val="none"/>
        </w:rPr>
        <w:t>人；离休0人，增加0人。</w:t>
      </w:r>
    </w:p>
    <w:p>
      <w:pPr>
        <w:pStyle w:val="2"/>
        <w:spacing w:before="156" w:beforeLines="50" w:after="156" w:afterLines="50" w:line="400" w:lineRule="exact"/>
        <w:jc w:val="center"/>
        <w:rPr>
          <w:rFonts w:ascii="黑体" w:eastAsia="黑体"/>
          <w:sz w:val="30"/>
          <w:szCs w:val="30"/>
          <w:highlight w:val="none"/>
        </w:rPr>
      </w:pPr>
      <w:r>
        <w:rPr>
          <w:rFonts w:hint="eastAsia" w:ascii="仿宋" w:hAnsi="仿宋" w:eastAsia="仿宋"/>
          <w:color w:val="000000"/>
          <w:sz w:val="28"/>
          <w:szCs w:val="28"/>
          <w:highlight w:val="none"/>
        </w:rPr>
        <w:br w:type="page"/>
      </w:r>
      <w:r>
        <w:rPr>
          <w:rFonts w:hint="eastAsia" w:ascii="黑体" w:eastAsia="黑体"/>
          <w:sz w:val="30"/>
          <w:szCs w:val="30"/>
          <w:highlight w:val="none"/>
        </w:rPr>
        <w:t>第二部分 2025年部门预算公开表</w:t>
      </w:r>
    </w:p>
    <w:p>
      <w:pPr>
        <w:jc w:val="left"/>
        <w:rPr>
          <w:rFonts w:hint="eastAsia" w:ascii="宋体" w:hAnsi="宋体"/>
          <w:color w:val="000000"/>
          <w:sz w:val="18"/>
          <w:szCs w:val="18"/>
          <w:highlight w:val="none"/>
        </w:rPr>
      </w:pPr>
      <w:r>
        <w:rPr>
          <w:rFonts w:hint="eastAsia" w:ascii="宋体" w:hAnsi="宋体"/>
          <w:color w:val="000000"/>
          <w:sz w:val="18"/>
          <w:szCs w:val="18"/>
          <w:highlight w:val="none"/>
        </w:rPr>
        <w:t>表1</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部门收支总体情况表</w:t>
      </w:r>
    </w:p>
    <w:tbl>
      <w:tblPr>
        <w:tblStyle w:val="8"/>
        <w:tblW w:w="9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600"/>
        <w:gridCol w:w="1150"/>
        <w:gridCol w:w="3600"/>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8350" w:type="dxa"/>
            <w:gridSpan w:val="3"/>
            <w:tcBorders>
              <w:top w:val="nil"/>
              <w:left w:val="nil"/>
              <w:bottom w:val="single" w:color="auto" w:sz="4" w:space="0"/>
              <w:right w:val="nil"/>
            </w:tcBorders>
            <w:shd w:val="clear" w:color="auto" w:fill="auto"/>
          </w:tcPr>
          <w:p>
            <w:pPr>
              <w:jc w:val="left"/>
              <w:rPr>
                <w:rFonts w:hint="eastAsia" w:ascii="宋体" w:hAnsi="宋体"/>
                <w:color w:val="000000"/>
                <w:sz w:val="18"/>
                <w:szCs w:val="18"/>
                <w:highlight w:val="none"/>
              </w:rPr>
            </w:pPr>
            <w:r>
              <w:rPr>
                <w:rFonts w:hint="eastAsia"/>
                <w:color w:val="000000"/>
                <w:sz w:val="18"/>
                <w:szCs w:val="18"/>
                <w:highlight w:val="none"/>
              </w:rPr>
              <w:t>编制部门：皮山县社会保险服务中心</w:t>
            </w:r>
          </w:p>
        </w:tc>
        <w:tc>
          <w:tcPr>
            <w:tcW w:w="1150" w:type="dxa"/>
            <w:tcBorders>
              <w:top w:val="nil"/>
              <w:left w:val="nil"/>
              <w:bottom w:val="single" w:color="auto" w:sz="4" w:space="0"/>
              <w:right w:val="nil"/>
            </w:tcBorders>
            <w:shd w:val="clear" w:color="auto" w:fill="auto"/>
          </w:tcPr>
          <w:p>
            <w:pPr>
              <w:jc w:val="right"/>
              <w:rPr>
                <w:rFonts w:hint="eastAsia" w:ascii="宋体" w:hAnsi="宋体"/>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收入</w:t>
            </w:r>
          </w:p>
        </w:tc>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3600" w:type="dxa"/>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项目</w:t>
            </w:r>
          </w:p>
        </w:tc>
        <w:tc>
          <w:tcPr>
            <w:tcW w:w="1150" w:type="dxa"/>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预算数</w:t>
            </w:r>
          </w:p>
        </w:tc>
        <w:tc>
          <w:tcPr>
            <w:tcW w:w="3600" w:type="dxa"/>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功能分类</w:t>
            </w:r>
          </w:p>
        </w:tc>
        <w:tc>
          <w:tcPr>
            <w:tcW w:w="1150" w:type="dxa"/>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b/>
                <w:color w:val="000000"/>
                <w:sz w:val="18"/>
                <w:szCs w:val="18"/>
                <w:highlight w:val="none"/>
              </w:rPr>
              <w:t>一、本年收入</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b/>
                <w:color w:val="000000"/>
                <w:sz w:val="18"/>
                <w:szCs w:val="18"/>
                <w:highlight w:val="none"/>
              </w:rPr>
              <w:t>1,454.56</w:t>
            </w: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201 一般公共服务支出</w:t>
            </w:r>
          </w:p>
        </w:tc>
        <w:tc>
          <w:tcPr>
            <w:tcW w:w="1150" w:type="dxa"/>
            <w:shd w:val="clear" w:color="auto" w:fill="auto"/>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b/>
                <w:color w:val="000000"/>
                <w:sz w:val="18"/>
                <w:szCs w:val="18"/>
                <w:highlight w:val="none"/>
              </w:rPr>
              <w:t>1.一般公共预算拨款</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b/>
                <w:color w:val="000000"/>
                <w:sz w:val="18"/>
                <w:szCs w:val="18"/>
                <w:highlight w:val="none"/>
              </w:rPr>
              <w:t>1,404.56</w:t>
            </w: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202 外交支出</w:t>
            </w:r>
          </w:p>
        </w:tc>
        <w:tc>
          <w:tcPr>
            <w:tcW w:w="1150" w:type="dxa"/>
            <w:shd w:val="clear" w:color="auto" w:fill="auto"/>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其中：一般财力</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color w:val="000000"/>
                <w:sz w:val="18"/>
                <w:szCs w:val="18"/>
                <w:highlight w:val="none"/>
              </w:rPr>
              <w:t>1,401.06</w:t>
            </w: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203 国防支出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 xml:space="preserve">      上级一般公共预算安排转移支付</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color w:val="000000"/>
                <w:sz w:val="18"/>
                <w:szCs w:val="18"/>
                <w:highlight w:val="none"/>
              </w:rPr>
              <w:t>3.50</w:t>
            </w: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204 公共安全支出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b/>
                <w:color w:val="000000"/>
                <w:sz w:val="18"/>
                <w:szCs w:val="18"/>
                <w:highlight w:val="none"/>
              </w:rPr>
              <w:t>2.政府性基金预算拨款</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205 教育支出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s="宋体"/>
                <w:color w:val="000000"/>
                <w:sz w:val="18"/>
                <w:szCs w:val="18"/>
                <w:highlight w:val="none"/>
              </w:rPr>
              <w:t>其中：政府性基金收入</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206 科学技术支出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s="宋体"/>
                <w:color w:val="000000"/>
                <w:sz w:val="18"/>
                <w:szCs w:val="18"/>
                <w:highlight w:val="none"/>
              </w:rPr>
              <w:t xml:space="preserve">      上级政府性基金安排转移支付</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207 文化旅游体育与传媒支出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b/>
                <w:color w:val="000000"/>
                <w:sz w:val="18"/>
                <w:szCs w:val="18"/>
                <w:highlight w:val="none"/>
              </w:rPr>
              <w:t>3.国有资本经营预算拨款</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208 社会保障和就业支出</w:t>
            </w:r>
          </w:p>
        </w:tc>
        <w:tc>
          <w:tcPr>
            <w:tcW w:w="1150"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1,408.00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其中：国有资本经营收入</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209 社会保险基金支出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 xml:space="preserve">      上级国有资本经营预算安排转移支付</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210 卫生健康支出</w:t>
            </w:r>
          </w:p>
        </w:tc>
        <w:tc>
          <w:tcPr>
            <w:tcW w:w="1150"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24.24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b/>
                <w:color w:val="000000"/>
                <w:sz w:val="18"/>
                <w:szCs w:val="18"/>
                <w:highlight w:val="none"/>
              </w:rPr>
              <w:t>4.财政专户核拨</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211 节能环保支出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b/>
                <w:color w:val="000000"/>
                <w:sz w:val="18"/>
                <w:szCs w:val="18"/>
                <w:highlight w:val="none"/>
              </w:rPr>
              <w:t>5.单位资金</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b/>
                <w:color w:val="000000"/>
                <w:sz w:val="18"/>
                <w:szCs w:val="18"/>
                <w:highlight w:val="none"/>
              </w:rPr>
              <w:t>50.00</w:t>
            </w: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212 城乡社区支出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其中：事业收入</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213 农林水支出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 xml:space="preserve">      上级补助收入</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214 交通运输支出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 xml:space="preserve">      附属单位上缴收入</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215 资源勘探工业信息等支出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 xml:space="preserve">      事业单位经营收入</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216 商业服务业等支出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 xml:space="preserve">      其他收入</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color w:val="000000"/>
                <w:sz w:val="18"/>
                <w:szCs w:val="18"/>
                <w:highlight w:val="none"/>
              </w:rPr>
              <w:t>50.00</w:t>
            </w: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217 金融支出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b/>
                <w:color w:val="000000"/>
                <w:sz w:val="18"/>
                <w:szCs w:val="18"/>
                <w:highlight w:val="none"/>
              </w:rPr>
              <w:t>二、上年结转结余</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b/>
                <w:color w:val="000000"/>
                <w:sz w:val="18"/>
                <w:szCs w:val="18"/>
                <w:highlight w:val="none"/>
              </w:rPr>
              <w:t>8.13</w:t>
            </w: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219 援助其他地区支出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b/>
                <w:color w:val="000000"/>
                <w:sz w:val="18"/>
                <w:szCs w:val="18"/>
                <w:highlight w:val="none"/>
              </w:rPr>
              <w:t>1.财政拨款结转</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b/>
                <w:color w:val="000000"/>
                <w:sz w:val="18"/>
                <w:szCs w:val="18"/>
                <w:highlight w:val="none"/>
              </w:rPr>
              <w:t>8.13</w:t>
            </w: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220 自然资源海洋气象等支出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其中：一般公共预算拨款</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color w:val="000000"/>
                <w:sz w:val="18"/>
                <w:szCs w:val="18"/>
                <w:highlight w:val="none"/>
              </w:rPr>
              <w:t>8.13</w:t>
            </w: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221 住房保障支出</w:t>
            </w:r>
          </w:p>
        </w:tc>
        <w:tc>
          <w:tcPr>
            <w:tcW w:w="1150"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22.60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 xml:space="preserve">      政府性基金预算拨款</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222 粮油物资储备支出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 xml:space="preserve">      国有资本经营预算拨款</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223 国有资本经营预算支出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b/>
                <w:color w:val="000000"/>
                <w:sz w:val="18"/>
                <w:szCs w:val="18"/>
                <w:highlight w:val="none"/>
              </w:rPr>
              <w:t>2.非财政拨款结转结余</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224 灾害防治及应急管理支出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其中：财政专户核拨</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227 预备费</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 xml:space="preserve">      单位资金</w:t>
            </w: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229 其他支出</w:t>
            </w:r>
          </w:p>
        </w:tc>
        <w:tc>
          <w:tcPr>
            <w:tcW w:w="1150"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eastAsia" w:ascii="宋体" w:hAnsi="宋体"/>
                <w:color w:val="000000"/>
                <w:sz w:val="18"/>
                <w:szCs w:val="18"/>
                <w:highlight w:val="none"/>
              </w:rPr>
            </w:pP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230 转移性支出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eastAsia" w:ascii="宋体" w:hAnsi="宋体"/>
                <w:color w:val="000000"/>
                <w:sz w:val="18"/>
                <w:szCs w:val="18"/>
                <w:highlight w:val="none"/>
              </w:rPr>
            </w:pP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231 债务还本支出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eastAsia" w:ascii="宋体" w:hAnsi="宋体"/>
                <w:color w:val="000000"/>
                <w:sz w:val="18"/>
                <w:szCs w:val="18"/>
                <w:highlight w:val="none"/>
              </w:rPr>
            </w:pP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232 债务付息支出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eastAsia" w:ascii="宋体" w:hAnsi="宋体"/>
                <w:color w:val="000000"/>
                <w:sz w:val="18"/>
                <w:szCs w:val="18"/>
                <w:highlight w:val="none"/>
              </w:rPr>
            </w:pP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vAlign w:val="center"/>
          </w:tcPr>
          <w:p>
            <w:pPr>
              <w:rPr>
                <w:rFonts w:hint="eastAsia" w:ascii="宋体" w:hAnsi="宋体" w:cs="宋体"/>
                <w:color w:val="000000"/>
                <w:sz w:val="18"/>
                <w:szCs w:val="18"/>
                <w:highlight w:val="none"/>
              </w:rPr>
            </w:pPr>
            <w:r>
              <w:rPr>
                <w:rFonts w:hint="eastAsia" w:ascii="宋体" w:hAnsi="宋体" w:cs="宋体"/>
                <w:color w:val="000000"/>
                <w:sz w:val="18"/>
                <w:szCs w:val="18"/>
                <w:highlight w:val="none"/>
              </w:rPr>
              <w:t>233 债务发行费用支出</w:t>
            </w:r>
          </w:p>
        </w:tc>
        <w:tc>
          <w:tcPr>
            <w:tcW w:w="1150"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21" w:hRule="atLeast"/>
          <w:jc w:val="center"/>
        </w:trPr>
        <w:tc>
          <w:tcPr>
            <w:tcW w:w="3600" w:type="dxa"/>
            <w:shd w:val="clear" w:color="auto" w:fill="auto"/>
          </w:tcPr>
          <w:p>
            <w:pPr>
              <w:rPr>
                <w:rFonts w:hint="eastAsia" w:ascii="宋体" w:hAnsi="宋体"/>
                <w:color w:val="000000"/>
                <w:sz w:val="18"/>
                <w:szCs w:val="18"/>
                <w:highlight w:val="none"/>
              </w:rPr>
            </w:pPr>
          </w:p>
        </w:tc>
        <w:tc>
          <w:tcPr>
            <w:tcW w:w="1150" w:type="dxa"/>
            <w:shd w:val="clear" w:color="auto" w:fill="auto"/>
          </w:tcPr>
          <w:p>
            <w:pPr>
              <w:jc w:val="right"/>
              <w:rPr>
                <w:rFonts w:hint="eastAsia" w:ascii="宋体" w:hAnsi="宋体"/>
                <w:color w:val="000000"/>
                <w:sz w:val="18"/>
                <w:szCs w:val="18"/>
                <w:highlight w:val="none"/>
              </w:rPr>
            </w:pPr>
          </w:p>
        </w:tc>
        <w:tc>
          <w:tcPr>
            <w:tcW w:w="3600" w:type="dxa"/>
            <w:shd w:val="clear" w:color="auto" w:fill="auto"/>
          </w:tcPr>
          <w:p>
            <w:pPr>
              <w:rPr>
                <w:rFonts w:hint="eastAsia" w:ascii="宋体" w:hAnsi="宋体" w:cs="宋体"/>
                <w:color w:val="000000"/>
                <w:sz w:val="18"/>
                <w:szCs w:val="18"/>
                <w:highlight w:val="none"/>
              </w:rPr>
            </w:pPr>
          </w:p>
        </w:tc>
        <w:tc>
          <w:tcPr>
            <w:tcW w:w="1150" w:type="dxa"/>
            <w:shd w:val="clear" w:color="auto" w:fill="auto"/>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jc w:val="center"/>
              <w:rPr>
                <w:rFonts w:hint="eastAsia" w:ascii="宋体" w:hAnsi="宋体"/>
                <w:color w:val="000000"/>
                <w:sz w:val="18"/>
                <w:szCs w:val="18"/>
                <w:highlight w:val="none"/>
              </w:rPr>
            </w:pPr>
            <w:r>
              <w:rPr>
                <w:rFonts w:hint="eastAsia" w:ascii="宋体" w:hAnsi="宋体"/>
                <w:b/>
                <w:color w:val="000000"/>
                <w:sz w:val="18"/>
                <w:szCs w:val="18"/>
                <w:highlight w:val="none"/>
              </w:rPr>
              <w:t>收 入 总 计</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b/>
                <w:color w:val="000000"/>
                <w:sz w:val="18"/>
                <w:szCs w:val="18"/>
                <w:highlight w:val="none"/>
              </w:rPr>
              <w:t>1,462.69</w:t>
            </w:r>
          </w:p>
        </w:tc>
        <w:tc>
          <w:tcPr>
            <w:tcW w:w="3600" w:type="dxa"/>
            <w:shd w:val="clear" w:color="auto" w:fill="auto"/>
          </w:tcPr>
          <w:p>
            <w:pPr>
              <w:jc w:val="center"/>
              <w:rPr>
                <w:rFonts w:hint="eastAsia" w:ascii="宋体" w:hAnsi="宋体" w:cs="宋体"/>
                <w:color w:val="000000"/>
                <w:sz w:val="18"/>
                <w:szCs w:val="18"/>
                <w:highlight w:val="none"/>
              </w:rPr>
            </w:pPr>
            <w:r>
              <w:rPr>
                <w:rFonts w:hint="eastAsia" w:ascii="宋体" w:hAnsi="宋体"/>
                <w:b/>
                <w:color w:val="000000"/>
                <w:sz w:val="18"/>
                <w:szCs w:val="18"/>
                <w:highlight w:val="none"/>
              </w:rPr>
              <w:t>支 出 总 计</w:t>
            </w:r>
          </w:p>
        </w:tc>
        <w:tc>
          <w:tcPr>
            <w:tcW w:w="1150" w:type="dxa"/>
            <w:shd w:val="clear" w:color="auto" w:fill="auto"/>
          </w:tcPr>
          <w:p>
            <w:pPr>
              <w:jc w:val="right"/>
              <w:rPr>
                <w:rFonts w:hint="eastAsia" w:ascii="宋体" w:hAnsi="宋体"/>
                <w:color w:val="000000"/>
                <w:sz w:val="18"/>
                <w:szCs w:val="18"/>
                <w:highlight w:val="none"/>
              </w:rPr>
            </w:pPr>
            <w:r>
              <w:rPr>
                <w:rFonts w:hint="eastAsia" w:ascii="宋体" w:hAnsi="宋体"/>
                <w:b/>
                <w:color w:val="000000"/>
                <w:sz w:val="18"/>
                <w:szCs w:val="18"/>
                <w:highlight w:val="none"/>
              </w:rPr>
              <w:t>1,462.69</w:t>
            </w:r>
          </w:p>
        </w:tc>
      </w:tr>
    </w:tbl>
    <w:p>
      <w:pPr>
        <w:widowControl/>
        <w:jc w:val="left"/>
        <w:rPr>
          <w:rFonts w:ascii="仿宋" w:eastAsia="仿宋"/>
          <w:b/>
          <w:color w:val="000000"/>
          <w:szCs w:val="21"/>
          <w:highlight w:val="none"/>
        </w:rPr>
        <w:sectPr>
          <w:footerReference r:id="rId3" w:type="default"/>
          <w:pgSz w:w="11906" w:h="16838"/>
          <w:pgMar w:top="1134" w:right="1134" w:bottom="993" w:left="1134" w:header="851" w:footer="992" w:gutter="0"/>
          <w:cols w:space="425" w:num="1"/>
          <w:docGrid w:type="lines" w:linePitch="312" w:charSpace="0"/>
        </w:sectPr>
      </w:pPr>
    </w:p>
    <w:p>
      <w:pPr>
        <w:jc w:val="left"/>
        <w:rPr>
          <w:rFonts w:hint="eastAsia" w:ascii="宋体" w:hAnsi="宋体"/>
          <w:color w:val="000000"/>
          <w:sz w:val="18"/>
          <w:szCs w:val="18"/>
          <w:highlight w:val="none"/>
        </w:rPr>
      </w:pPr>
      <w:r>
        <w:rPr>
          <w:rFonts w:hint="eastAsia" w:ascii="宋体" w:hAnsi="宋体"/>
          <w:color w:val="000000"/>
          <w:sz w:val="18"/>
          <w:szCs w:val="18"/>
          <w:highlight w:val="none"/>
        </w:rPr>
        <w:t>表2</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部门收入总体情况表</w:t>
      </w:r>
    </w:p>
    <w:tbl>
      <w:tblPr>
        <w:tblStyle w:val="8"/>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31"/>
        <w:gridCol w:w="254"/>
        <w:gridCol w:w="254"/>
        <w:gridCol w:w="2420"/>
        <w:gridCol w:w="1108"/>
        <w:gridCol w:w="1067"/>
        <w:gridCol w:w="1067"/>
        <w:gridCol w:w="1067"/>
        <w:gridCol w:w="874"/>
        <w:gridCol w:w="874"/>
        <w:gridCol w:w="963"/>
        <w:gridCol w:w="934"/>
        <w:gridCol w:w="874"/>
        <w:gridCol w:w="874"/>
        <w:gridCol w:w="874"/>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442" w:type="dxa"/>
            <w:gridSpan w:val="9"/>
            <w:tcBorders>
              <w:top w:val="nil"/>
              <w:left w:val="nil"/>
              <w:bottom w:val="single" w:color="auto" w:sz="4" w:space="0"/>
              <w:right w:val="nil"/>
            </w:tcBorders>
            <w:shd w:val="clear" w:color="auto" w:fill="auto"/>
          </w:tcPr>
          <w:p>
            <w:pPr>
              <w:jc w:val="left"/>
              <w:rPr>
                <w:rFonts w:hint="eastAsia" w:ascii="宋体" w:hAnsi="宋体"/>
                <w:sz w:val="18"/>
                <w:szCs w:val="18"/>
                <w:highlight w:val="none"/>
              </w:rPr>
            </w:pPr>
            <w:r>
              <w:rPr>
                <w:rFonts w:hint="eastAsia"/>
                <w:color w:val="000000"/>
                <w:sz w:val="18"/>
                <w:szCs w:val="18"/>
                <w:highlight w:val="none"/>
              </w:rPr>
              <w:t>编制部门：皮山县社会保险服务中心</w:t>
            </w:r>
          </w:p>
        </w:tc>
        <w:tc>
          <w:tcPr>
            <w:tcW w:w="6267" w:type="dxa"/>
            <w:gridSpan w:val="7"/>
            <w:tcBorders>
              <w:top w:val="nil"/>
              <w:left w:val="nil"/>
              <w:bottom w:val="single" w:color="auto" w:sz="4" w:space="0"/>
              <w:right w:val="nil"/>
            </w:tcBorders>
            <w:shd w:val="clear" w:color="auto" w:fill="auto"/>
            <w:vAlign w:val="center"/>
          </w:tcPr>
          <w:p>
            <w:pPr>
              <w:jc w:val="right"/>
              <w:rPr>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39" w:type="dxa"/>
            <w:gridSpan w:val="3"/>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功能分类科目编码</w:t>
            </w:r>
          </w:p>
        </w:tc>
        <w:tc>
          <w:tcPr>
            <w:tcW w:w="2420"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功能分类科目名称</w:t>
            </w:r>
          </w:p>
        </w:tc>
        <w:tc>
          <w:tcPr>
            <w:tcW w:w="1108"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总计</w:t>
            </w:r>
          </w:p>
        </w:tc>
        <w:tc>
          <w:tcPr>
            <w:tcW w:w="6846" w:type="dxa"/>
            <w:gridSpan w:val="7"/>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财政拨款（补助）</w:t>
            </w:r>
          </w:p>
        </w:tc>
        <w:tc>
          <w:tcPr>
            <w:tcW w:w="874"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财政专户（教育收费）</w:t>
            </w:r>
          </w:p>
        </w:tc>
        <w:tc>
          <w:tcPr>
            <w:tcW w:w="874"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单位资金</w:t>
            </w:r>
          </w:p>
        </w:tc>
        <w:tc>
          <w:tcPr>
            <w:tcW w:w="874"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财政拨款结转</w:t>
            </w:r>
          </w:p>
        </w:tc>
        <w:tc>
          <w:tcPr>
            <w:tcW w:w="874"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非财政拨款结转结余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0" w:hRule="atLeast"/>
          <w:tblHeader/>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类</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款</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项</w:t>
            </w:r>
          </w:p>
        </w:tc>
        <w:tc>
          <w:tcPr>
            <w:tcW w:w="2420" w:type="dxa"/>
            <w:vMerge w:val="continue"/>
            <w:shd w:val="clear" w:color="auto" w:fill="auto"/>
            <w:vAlign w:val="center"/>
          </w:tcPr>
          <w:p>
            <w:pPr>
              <w:jc w:val="center"/>
              <w:rPr>
                <w:rFonts w:hint="eastAsia" w:ascii="宋体" w:hAnsi="宋体"/>
                <w:sz w:val="18"/>
                <w:szCs w:val="18"/>
                <w:highlight w:val="none"/>
              </w:rPr>
            </w:pPr>
          </w:p>
        </w:tc>
        <w:tc>
          <w:tcPr>
            <w:tcW w:w="1108" w:type="dxa"/>
            <w:vMerge w:val="continue"/>
            <w:shd w:val="clear" w:color="auto" w:fill="auto"/>
            <w:vAlign w:val="center"/>
          </w:tcPr>
          <w:p>
            <w:pPr>
              <w:jc w:val="center"/>
              <w:rPr>
                <w:rFonts w:hint="eastAsia" w:ascii="宋体" w:hAnsi="宋体"/>
                <w:sz w:val="18"/>
                <w:szCs w:val="18"/>
                <w:highlight w:val="none"/>
              </w:rPr>
            </w:pPr>
          </w:p>
        </w:tc>
        <w:tc>
          <w:tcPr>
            <w:tcW w:w="1067"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财政拨款(补助)小计</w:t>
            </w:r>
          </w:p>
        </w:tc>
        <w:tc>
          <w:tcPr>
            <w:tcW w:w="1067"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一般公共预算</w:t>
            </w:r>
          </w:p>
        </w:tc>
        <w:tc>
          <w:tcPr>
            <w:tcW w:w="1067"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上级一般公共预算安排的转移支付</w:t>
            </w:r>
          </w:p>
        </w:tc>
        <w:tc>
          <w:tcPr>
            <w:tcW w:w="874"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政府性基金预算</w:t>
            </w:r>
          </w:p>
        </w:tc>
        <w:tc>
          <w:tcPr>
            <w:tcW w:w="874"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上级政府性基金安排的转移支付</w:t>
            </w:r>
          </w:p>
        </w:tc>
        <w:tc>
          <w:tcPr>
            <w:tcW w:w="963"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国有资本经营预算</w:t>
            </w:r>
          </w:p>
        </w:tc>
        <w:tc>
          <w:tcPr>
            <w:tcW w:w="934"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上级国有资本经营预算安排的转移支付</w:t>
            </w:r>
          </w:p>
        </w:tc>
        <w:tc>
          <w:tcPr>
            <w:tcW w:w="874" w:type="dxa"/>
            <w:vMerge w:val="continue"/>
            <w:shd w:val="clear" w:color="auto" w:fill="auto"/>
          </w:tcPr>
          <w:p>
            <w:pPr>
              <w:jc w:val="center"/>
              <w:rPr>
                <w:rFonts w:hint="eastAsia" w:ascii="宋体" w:hAnsi="宋体"/>
                <w:sz w:val="18"/>
                <w:szCs w:val="18"/>
                <w:highlight w:val="none"/>
              </w:rPr>
            </w:pPr>
          </w:p>
        </w:tc>
        <w:tc>
          <w:tcPr>
            <w:tcW w:w="874" w:type="dxa"/>
            <w:vMerge w:val="continue"/>
            <w:shd w:val="clear" w:color="auto" w:fill="auto"/>
          </w:tcPr>
          <w:p>
            <w:pPr>
              <w:jc w:val="center"/>
              <w:rPr>
                <w:rFonts w:hint="eastAsia" w:ascii="宋体" w:hAnsi="宋体"/>
                <w:sz w:val="18"/>
                <w:szCs w:val="18"/>
                <w:highlight w:val="none"/>
              </w:rPr>
            </w:pPr>
          </w:p>
        </w:tc>
        <w:tc>
          <w:tcPr>
            <w:tcW w:w="874" w:type="dxa"/>
            <w:vMerge w:val="continue"/>
            <w:shd w:val="clear" w:color="auto" w:fill="auto"/>
          </w:tcPr>
          <w:p>
            <w:pPr>
              <w:jc w:val="center"/>
              <w:rPr>
                <w:rFonts w:hint="eastAsia" w:ascii="宋体" w:hAnsi="宋体"/>
                <w:sz w:val="18"/>
                <w:szCs w:val="18"/>
                <w:highlight w:val="none"/>
              </w:rPr>
            </w:pPr>
          </w:p>
        </w:tc>
        <w:tc>
          <w:tcPr>
            <w:tcW w:w="874" w:type="dxa"/>
            <w:vMerge w:val="continue"/>
            <w:shd w:val="clear" w:color="auto" w:fill="auto"/>
          </w:tcPr>
          <w:p>
            <w:pPr>
              <w:jc w:val="center"/>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w:t>
            </w:r>
          </w:p>
        </w:tc>
        <w:tc>
          <w:tcPr>
            <w:tcW w:w="2420"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w:t>
            </w:r>
          </w:p>
        </w:tc>
        <w:tc>
          <w:tcPr>
            <w:tcW w:w="1108"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1</w:t>
            </w:r>
          </w:p>
        </w:tc>
        <w:tc>
          <w:tcPr>
            <w:tcW w:w="1067"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2</w:t>
            </w:r>
          </w:p>
        </w:tc>
        <w:tc>
          <w:tcPr>
            <w:tcW w:w="1067"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3</w:t>
            </w:r>
          </w:p>
        </w:tc>
        <w:tc>
          <w:tcPr>
            <w:tcW w:w="1067"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4</w:t>
            </w:r>
          </w:p>
        </w:tc>
        <w:tc>
          <w:tcPr>
            <w:tcW w:w="874"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5</w:t>
            </w:r>
          </w:p>
        </w:tc>
        <w:tc>
          <w:tcPr>
            <w:tcW w:w="874"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6</w:t>
            </w:r>
          </w:p>
        </w:tc>
        <w:tc>
          <w:tcPr>
            <w:tcW w:w="963"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7</w:t>
            </w:r>
          </w:p>
        </w:tc>
        <w:tc>
          <w:tcPr>
            <w:tcW w:w="934"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8</w:t>
            </w:r>
          </w:p>
        </w:tc>
        <w:tc>
          <w:tcPr>
            <w:tcW w:w="874"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9</w:t>
            </w:r>
          </w:p>
        </w:tc>
        <w:tc>
          <w:tcPr>
            <w:tcW w:w="874"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10</w:t>
            </w:r>
          </w:p>
        </w:tc>
        <w:tc>
          <w:tcPr>
            <w:tcW w:w="874"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11</w:t>
            </w:r>
          </w:p>
        </w:tc>
        <w:tc>
          <w:tcPr>
            <w:tcW w:w="874"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p>
        </w:tc>
        <w:tc>
          <w:tcPr>
            <w:tcW w:w="254" w:type="dxa"/>
            <w:shd w:val="clear" w:color="auto" w:fill="auto"/>
            <w:vAlign w:val="center"/>
          </w:tcPr>
          <w:p>
            <w:pPr>
              <w:jc w:val="center"/>
              <w:rPr>
                <w:rFonts w:hint="eastAsia" w:ascii="宋体" w:hAnsi="宋体"/>
                <w:b/>
                <w:sz w:val="18"/>
                <w:szCs w:val="18"/>
                <w:highlight w:val="none"/>
              </w:rPr>
            </w:pP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总计</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1,462.69</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1,404.56</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1,401.06</w:t>
            </w:r>
          </w:p>
        </w:tc>
        <w:tc>
          <w:tcPr>
            <w:tcW w:w="1067" w:type="dxa"/>
            <w:shd w:val="clear" w:color="auto" w:fill="auto"/>
            <w:vAlign w:val="center"/>
          </w:tcPr>
          <w:p>
            <w:pPr>
              <w:jc w:val="right"/>
              <w:rPr>
                <w:rFonts w:hint="eastAsia" w:ascii="宋体" w:hAnsi="宋体"/>
                <w:b/>
                <w:sz w:val="15"/>
                <w:szCs w:val="15"/>
                <w:highlight w:val="none"/>
              </w:rPr>
            </w:pPr>
            <w:r>
              <w:rPr>
                <w:rFonts w:hint="eastAsia" w:ascii="宋体" w:hAnsi="宋体"/>
                <w:b/>
                <w:color w:val="000000"/>
                <w:sz w:val="15"/>
                <w:szCs w:val="15"/>
                <w:highlight w:val="none"/>
              </w:rPr>
              <w:t>3.50</w:t>
            </w: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50.00</w:t>
            </w:r>
          </w:p>
        </w:tc>
        <w:tc>
          <w:tcPr>
            <w:tcW w:w="874"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8.13</w:t>
            </w: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208</w:t>
            </w:r>
          </w:p>
        </w:tc>
        <w:tc>
          <w:tcPr>
            <w:tcW w:w="254" w:type="dxa"/>
            <w:shd w:val="clear" w:color="auto" w:fill="auto"/>
            <w:vAlign w:val="center"/>
          </w:tcPr>
          <w:p>
            <w:pPr>
              <w:jc w:val="center"/>
              <w:rPr>
                <w:rFonts w:hint="eastAsia" w:ascii="宋体" w:hAnsi="宋体"/>
                <w:b/>
                <w:sz w:val="18"/>
                <w:szCs w:val="18"/>
                <w:highlight w:val="none"/>
              </w:rPr>
            </w:pP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社会保障和就业支出</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1,408.00</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1,357.72</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1,354.22</w:t>
            </w:r>
          </w:p>
        </w:tc>
        <w:tc>
          <w:tcPr>
            <w:tcW w:w="1067" w:type="dxa"/>
            <w:shd w:val="clear" w:color="auto" w:fill="auto"/>
            <w:vAlign w:val="center"/>
          </w:tcPr>
          <w:p>
            <w:pPr>
              <w:jc w:val="right"/>
              <w:rPr>
                <w:rFonts w:hint="eastAsia" w:ascii="宋体" w:hAnsi="宋体"/>
                <w:b/>
                <w:sz w:val="15"/>
                <w:szCs w:val="15"/>
                <w:highlight w:val="none"/>
              </w:rPr>
            </w:pPr>
            <w:r>
              <w:rPr>
                <w:rFonts w:hint="eastAsia" w:ascii="宋体" w:hAnsi="宋体"/>
                <w:b/>
                <w:color w:val="000000"/>
                <w:sz w:val="15"/>
                <w:szCs w:val="15"/>
                <w:highlight w:val="none"/>
              </w:rPr>
              <w:t>3.50</w:t>
            </w: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50.00</w:t>
            </w:r>
          </w:p>
        </w:tc>
        <w:tc>
          <w:tcPr>
            <w:tcW w:w="874"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0.28</w:t>
            </w: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208</w:t>
            </w:r>
          </w:p>
        </w:tc>
        <w:tc>
          <w:tcPr>
            <w:tcW w:w="25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01</w:t>
            </w: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 xml:space="preserve">  人力资源和社会保障管理事务</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281.37</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231.10</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227.60</w:t>
            </w:r>
          </w:p>
        </w:tc>
        <w:tc>
          <w:tcPr>
            <w:tcW w:w="1067" w:type="dxa"/>
            <w:shd w:val="clear" w:color="auto" w:fill="auto"/>
            <w:vAlign w:val="center"/>
          </w:tcPr>
          <w:p>
            <w:pPr>
              <w:jc w:val="right"/>
              <w:rPr>
                <w:rFonts w:hint="eastAsia" w:ascii="宋体" w:hAnsi="宋体"/>
                <w:b/>
                <w:sz w:val="15"/>
                <w:szCs w:val="15"/>
                <w:highlight w:val="none"/>
              </w:rPr>
            </w:pPr>
            <w:r>
              <w:rPr>
                <w:rFonts w:hint="eastAsia" w:ascii="宋体" w:hAnsi="宋体"/>
                <w:b/>
                <w:color w:val="000000"/>
                <w:sz w:val="15"/>
                <w:szCs w:val="15"/>
                <w:highlight w:val="none"/>
              </w:rPr>
              <w:t>3.50</w:t>
            </w: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50.00</w:t>
            </w:r>
          </w:p>
        </w:tc>
        <w:tc>
          <w:tcPr>
            <w:tcW w:w="874"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0.28</w:t>
            </w: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208</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01</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01</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行政运行</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277.60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227.60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227.60</w:t>
            </w: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50.00</w:t>
            </w:r>
          </w:p>
        </w:tc>
        <w:tc>
          <w:tcPr>
            <w:tcW w:w="874" w:type="dxa"/>
            <w:shd w:val="clear" w:color="auto" w:fill="auto"/>
            <w:vAlign w:val="center"/>
          </w:tcPr>
          <w:p>
            <w:pPr>
              <w:jc w:val="right"/>
              <w:rPr>
                <w:rFonts w:hint="eastAsia" w:ascii="宋体" w:hAnsi="宋体"/>
                <w:color w:val="000000"/>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208</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01</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09</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社会保险经办机构</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3.78</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3.50</w:t>
            </w:r>
          </w:p>
        </w:tc>
        <w:tc>
          <w:tcPr>
            <w:tcW w:w="1067" w:type="dxa"/>
            <w:shd w:val="clear" w:color="auto" w:fill="auto"/>
            <w:vAlign w:val="center"/>
          </w:tcPr>
          <w:p>
            <w:pPr>
              <w:jc w:val="right"/>
              <w:rPr>
                <w:rFonts w:hint="eastAsia" w:ascii="宋体" w:hAnsi="宋体"/>
                <w:sz w:val="18"/>
                <w:szCs w:val="18"/>
                <w:highlight w:val="none"/>
              </w:rPr>
            </w:pPr>
          </w:p>
        </w:tc>
        <w:tc>
          <w:tcPr>
            <w:tcW w:w="1067" w:type="dxa"/>
            <w:shd w:val="clear" w:color="auto" w:fill="auto"/>
            <w:vAlign w:val="center"/>
          </w:tcPr>
          <w:p>
            <w:pPr>
              <w:jc w:val="right"/>
              <w:rPr>
                <w:rFonts w:hint="eastAsia" w:ascii="宋体" w:hAnsi="宋体"/>
                <w:sz w:val="15"/>
                <w:szCs w:val="15"/>
                <w:highlight w:val="none"/>
              </w:rPr>
            </w:pPr>
            <w:r>
              <w:rPr>
                <w:rFonts w:hint="eastAsia" w:ascii="宋体" w:hAnsi="宋体"/>
                <w:color w:val="000000"/>
                <w:sz w:val="15"/>
                <w:szCs w:val="15"/>
                <w:highlight w:val="none"/>
              </w:rPr>
              <w:t>3.50</w:t>
            </w: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0.28</w:t>
            </w: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208</w:t>
            </w:r>
          </w:p>
        </w:tc>
        <w:tc>
          <w:tcPr>
            <w:tcW w:w="25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05</w:t>
            </w: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 xml:space="preserve">  行政事业单位养老支出</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76.02</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76.02</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76.02</w:t>
            </w:r>
          </w:p>
        </w:tc>
        <w:tc>
          <w:tcPr>
            <w:tcW w:w="1067" w:type="dxa"/>
            <w:shd w:val="clear" w:color="auto" w:fill="auto"/>
            <w:vAlign w:val="center"/>
          </w:tcPr>
          <w:p>
            <w:pPr>
              <w:jc w:val="right"/>
              <w:rPr>
                <w:rFonts w:hint="eastAsia" w:ascii="宋体" w:hAnsi="宋体"/>
                <w:b/>
                <w:sz w:val="15"/>
                <w:szCs w:val="15"/>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208</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05</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02</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事业单位离退休</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20.88</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20.88</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20.88</w:t>
            </w: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208</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05</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05</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机关事业单位基本养老保险缴费支出</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30.13</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30.13</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30.13</w:t>
            </w: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208</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05</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06</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机关事业单位职业年金缴费支出</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25.00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25.00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25.00</w:t>
            </w: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208</w:t>
            </w:r>
          </w:p>
        </w:tc>
        <w:tc>
          <w:tcPr>
            <w:tcW w:w="25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26</w:t>
            </w: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 xml:space="preserve">  财政对基本养老保险基金的补助</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1,050.61</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1,050.61</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1,050.61</w:t>
            </w:r>
          </w:p>
        </w:tc>
        <w:tc>
          <w:tcPr>
            <w:tcW w:w="1067" w:type="dxa"/>
            <w:shd w:val="clear" w:color="auto" w:fill="auto"/>
            <w:vAlign w:val="center"/>
          </w:tcPr>
          <w:p>
            <w:pPr>
              <w:jc w:val="right"/>
              <w:rPr>
                <w:rFonts w:hint="eastAsia" w:ascii="宋体" w:hAnsi="宋体"/>
                <w:b/>
                <w:sz w:val="15"/>
                <w:szCs w:val="15"/>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208</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26</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01</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财政对企业职工基本养老保险基金的补助</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52.50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52.50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52.50</w:t>
            </w: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208</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26</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02</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财政对城乡居民基本养老保险基金的补助</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998.11</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998.11</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998.11</w:t>
            </w: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210</w:t>
            </w:r>
          </w:p>
        </w:tc>
        <w:tc>
          <w:tcPr>
            <w:tcW w:w="254" w:type="dxa"/>
            <w:shd w:val="clear" w:color="auto" w:fill="auto"/>
            <w:vAlign w:val="center"/>
          </w:tcPr>
          <w:p>
            <w:pPr>
              <w:jc w:val="center"/>
              <w:rPr>
                <w:rFonts w:hint="eastAsia" w:ascii="宋体" w:hAnsi="宋体"/>
                <w:b/>
                <w:sz w:val="18"/>
                <w:szCs w:val="18"/>
                <w:highlight w:val="none"/>
              </w:rPr>
            </w:pP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卫生健康支出</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24.24</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24.24</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24.24</w:t>
            </w:r>
          </w:p>
        </w:tc>
        <w:tc>
          <w:tcPr>
            <w:tcW w:w="1067" w:type="dxa"/>
            <w:shd w:val="clear" w:color="auto" w:fill="auto"/>
            <w:vAlign w:val="center"/>
          </w:tcPr>
          <w:p>
            <w:pPr>
              <w:jc w:val="right"/>
              <w:rPr>
                <w:rFonts w:hint="eastAsia" w:ascii="宋体" w:hAnsi="宋体"/>
                <w:b/>
                <w:sz w:val="15"/>
                <w:szCs w:val="15"/>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210</w:t>
            </w:r>
          </w:p>
        </w:tc>
        <w:tc>
          <w:tcPr>
            <w:tcW w:w="25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11</w:t>
            </w: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 xml:space="preserve">  行政事业单位医疗</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24.24</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24.24</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24.24</w:t>
            </w:r>
          </w:p>
        </w:tc>
        <w:tc>
          <w:tcPr>
            <w:tcW w:w="1067" w:type="dxa"/>
            <w:shd w:val="clear" w:color="auto" w:fill="auto"/>
            <w:vAlign w:val="center"/>
          </w:tcPr>
          <w:p>
            <w:pPr>
              <w:jc w:val="right"/>
              <w:rPr>
                <w:rFonts w:hint="eastAsia" w:ascii="宋体" w:hAnsi="宋体"/>
                <w:b/>
                <w:sz w:val="15"/>
                <w:szCs w:val="15"/>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210</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11</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02</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事业单位医疗</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12.24</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12.24</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12.24</w:t>
            </w: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210</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11</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03</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公务员医疗补助</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12.00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12.00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12.00</w:t>
            </w: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221</w:t>
            </w:r>
          </w:p>
        </w:tc>
        <w:tc>
          <w:tcPr>
            <w:tcW w:w="254" w:type="dxa"/>
            <w:shd w:val="clear" w:color="auto" w:fill="auto"/>
            <w:vAlign w:val="center"/>
          </w:tcPr>
          <w:p>
            <w:pPr>
              <w:jc w:val="center"/>
              <w:rPr>
                <w:rFonts w:hint="eastAsia" w:ascii="宋体" w:hAnsi="宋体"/>
                <w:b/>
                <w:sz w:val="18"/>
                <w:szCs w:val="18"/>
                <w:highlight w:val="none"/>
              </w:rPr>
            </w:pP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住房保障支出</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22.60</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22.60</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22.60</w:t>
            </w:r>
          </w:p>
        </w:tc>
        <w:tc>
          <w:tcPr>
            <w:tcW w:w="1067" w:type="dxa"/>
            <w:shd w:val="clear" w:color="auto" w:fill="auto"/>
            <w:vAlign w:val="center"/>
          </w:tcPr>
          <w:p>
            <w:pPr>
              <w:jc w:val="right"/>
              <w:rPr>
                <w:rFonts w:hint="eastAsia" w:ascii="宋体" w:hAnsi="宋体"/>
                <w:b/>
                <w:sz w:val="15"/>
                <w:szCs w:val="15"/>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221</w:t>
            </w:r>
          </w:p>
        </w:tc>
        <w:tc>
          <w:tcPr>
            <w:tcW w:w="25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02</w:t>
            </w: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 xml:space="preserve">  住房改革支出</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22.60</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22.60</w:t>
            </w:r>
          </w:p>
        </w:tc>
        <w:tc>
          <w:tcPr>
            <w:tcW w:w="1067"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22.60</w:t>
            </w:r>
          </w:p>
        </w:tc>
        <w:tc>
          <w:tcPr>
            <w:tcW w:w="1067" w:type="dxa"/>
            <w:shd w:val="clear" w:color="auto" w:fill="auto"/>
            <w:vAlign w:val="center"/>
          </w:tcPr>
          <w:p>
            <w:pPr>
              <w:jc w:val="right"/>
              <w:rPr>
                <w:rFonts w:hint="eastAsia" w:ascii="宋体" w:hAnsi="宋体"/>
                <w:b/>
                <w:sz w:val="15"/>
                <w:szCs w:val="15"/>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221</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02</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01</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住房公积金</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22.60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22.60</w:t>
            </w:r>
          </w:p>
        </w:tc>
        <w:tc>
          <w:tcPr>
            <w:tcW w:w="1067"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22.60</w:t>
            </w: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229</w:t>
            </w:r>
          </w:p>
        </w:tc>
        <w:tc>
          <w:tcPr>
            <w:tcW w:w="254" w:type="dxa"/>
            <w:shd w:val="clear" w:color="auto" w:fill="auto"/>
            <w:vAlign w:val="center"/>
          </w:tcPr>
          <w:p>
            <w:pPr>
              <w:jc w:val="center"/>
              <w:rPr>
                <w:rFonts w:hint="eastAsia" w:ascii="宋体" w:hAnsi="宋体"/>
                <w:b/>
                <w:sz w:val="18"/>
                <w:szCs w:val="18"/>
                <w:highlight w:val="none"/>
              </w:rPr>
            </w:pP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其他支出</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7.85</w:t>
            </w:r>
          </w:p>
        </w:tc>
        <w:tc>
          <w:tcPr>
            <w:tcW w:w="1067" w:type="dxa"/>
            <w:shd w:val="clear" w:color="auto" w:fill="auto"/>
            <w:vAlign w:val="center"/>
          </w:tcPr>
          <w:p>
            <w:pPr>
              <w:jc w:val="right"/>
              <w:rPr>
                <w:rFonts w:hint="eastAsia" w:ascii="宋体" w:hAnsi="宋体"/>
                <w:b/>
                <w:sz w:val="18"/>
                <w:szCs w:val="18"/>
                <w:highlight w:val="none"/>
              </w:rPr>
            </w:pPr>
          </w:p>
        </w:tc>
        <w:tc>
          <w:tcPr>
            <w:tcW w:w="1067" w:type="dxa"/>
            <w:shd w:val="clear" w:color="auto" w:fill="auto"/>
            <w:vAlign w:val="center"/>
          </w:tcPr>
          <w:p>
            <w:pPr>
              <w:jc w:val="right"/>
              <w:rPr>
                <w:rFonts w:hint="eastAsia" w:ascii="宋体" w:hAnsi="宋体"/>
                <w:b/>
                <w:sz w:val="18"/>
                <w:szCs w:val="18"/>
                <w:highlight w:val="none"/>
              </w:rPr>
            </w:pPr>
          </w:p>
        </w:tc>
        <w:tc>
          <w:tcPr>
            <w:tcW w:w="1067" w:type="dxa"/>
            <w:shd w:val="clear" w:color="auto" w:fill="auto"/>
            <w:vAlign w:val="center"/>
          </w:tcPr>
          <w:p>
            <w:pPr>
              <w:jc w:val="right"/>
              <w:rPr>
                <w:rFonts w:hint="eastAsia" w:ascii="宋体" w:hAnsi="宋体"/>
                <w:b/>
                <w:sz w:val="15"/>
                <w:szCs w:val="15"/>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7.85</w:t>
            </w: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229</w:t>
            </w:r>
          </w:p>
        </w:tc>
        <w:tc>
          <w:tcPr>
            <w:tcW w:w="25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5"/>
                <w:szCs w:val="15"/>
                <w:highlight w:val="none"/>
              </w:rPr>
              <w:t>99</w:t>
            </w:r>
          </w:p>
        </w:tc>
        <w:tc>
          <w:tcPr>
            <w:tcW w:w="254" w:type="dxa"/>
            <w:shd w:val="clear" w:color="auto" w:fill="auto"/>
            <w:vAlign w:val="center"/>
          </w:tcPr>
          <w:p>
            <w:pPr>
              <w:jc w:val="center"/>
              <w:rPr>
                <w:rFonts w:hint="eastAsia" w:ascii="宋体" w:hAnsi="宋体"/>
                <w:b/>
                <w:sz w:val="18"/>
                <w:szCs w:val="18"/>
                <w:highlight w:val="none"/>
              </w:rPr>
            </w:pPr>
          </w:p>
        </w:tc>
        <w:tc>
          <w:tcPr>
            <w:tcW w:w="2420"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5"/>
                <w:szCs w:val="15"/>
                <w:highlight w:val="none"/>
              </w:rPr>
              <w:t xml:space="preserve">  其他支出</w:t>
            </w:r>
          </w:p>
        </w:tc>
        <w:tc>
          <w:tcPr>
            <w:tcW w:w="1108" w:type="dxa"/>
            <w:shd w:val="clear" w:color="auto" w:fill="auto"/>
            <w:vAlign w:val="center"/>
          </w:tcPr>
          <w:p>
            <w:pPr>
              <w:jc w:val="right"/>
              <w:rPr>
                <w:rFonts w:hint="eastAsia" w:ascii="宋体" w:hAnsi="宋体"/>
                <w:b/>
                <w:sz w:val="18"/>
                <w:szCs w:val="18"/>
                <w:highlight w:val="none"/>
              </w:rPr>
            </w:pPr>
            <w:r>
              <w:rPr>
                <w:rFonts w:hint="eastAsia" w:ascii="宋体" w:hAnsi="宋体"/>
                <w:b/>
                <w:color w:val="000000"/>
                <w:sz w:val="15"/>
                <w:szCs w:val="15"/>
                <w:highlight w:val="none"/>
              </w:rPr>
              <w:t>7.85</w:t>
            </w:r>
          </w:p>
        </w:tc>
        <w:tc>
          <w:tcPr>
            <w:tcW w:w="1067" w:type="dxa"/>
            <w:shd w:val="clear" w:color="auto" w:fill="auto"/>
            <w:vAlign w:val="center"/>
          </w:tcPr>
          <w:p>
            <w:pPr>
              <w:jc w:val="right"/>
              <w:rPr>
                <w:rFonts w:hint="eastAsia" w:ascii="宋体" w:hAnsi="宋体"/>
                <w:b/>
                <w:sz w:val="18"/>
                <w:szCs w:val="18"/>
                <w:highlight w:val="none"/>
              </w:rPr>
            </w:pPr>
          </w:p>
        </w:tc>
        <w:tc>
          <w:tcPr>
            <w:tcW w:w="1067" w:type="dxa"/>
            <w:shd w:val="clear" w:color="auto" w:fill="auto"/>
            <w:vAlign w:val="center"/>
          </w:tcPr>
          <w:p>
            <w:pPr>
              <w:jc w:val="right"/>
              <w:rPr>
                <w:rFonts w:hint="eastAsia" w:ascii="宋体" w:hAnsi="宋体"/>
                <w:b/>
                <w:sz w:val="18"/>
                <w:szCs w:val="18"/>
                <w:highlight w:val="none"/>
              </w:rPr>
            </w:pPr>
          </w:p>
        </w:tc>
        <w:tc>
          <w:tcPr>
            <w:tcW w:w="1067" w:type="dxa"/>
            <w:shd w:val="clear" w:color="auto" w:fill="auto"/>
            <w:vAlign w:val="center"/>
          </w:tcPr>
          <w:p>
            <w:pPr>
              <w:jc w:val="right"/>
              <w:rPr>
                <w:rFonts w:hint="eastAsia" w:ascii="宋体" w:hAnsi="宋体"/>
                <w:b/>
                <w:sz w:val="15"/>
                <w:szCs w:val="15"/>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963" w:type="dxa"/>
            <w:shd w:val="clear" w:color="auto" w:fill="auto"/>
            <w:vAlign w:val="center"/>
          </w:tcPr>
          <w:p>
            <w:pPr>
              <w:jc w:val="right"/>
              <w:rPr>
                <w:rFonts w:hint="eastAsia" w:ascii="宋体" w:hAnsi="宋体"/>
                <w:b/>
                <w:sz w:val="18"/>
                <w:szCs w:val="18"/>
                <w:highlight w:val="none"/>
              </w:rPr>
            </w:pPr>
          </w:p>
        </w:tc>
        <w:tc>
          <w:tcPr>
            <w:tcW w:w="93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sz w:val="18"/>
                <w:szCs w:val="18"/>
                <w:highlight w:val="none"/>
              </w:rPr>
            </w:pPr>
          </w:p>
        </w:tc>
        <w:tc>
          <w:tcPr>
            <w:tcW w:w="874"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7.85</w:t>
            </w:r>
          </w:p>
        </w:tc>
        <w:tc>
          <w:tcPr>
            <w:tcW w:w="874"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1"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229</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99</w:t>
            </w:r>
          </w:p>
        </w:tc>
        <w:tc>
          <w:tcPr>
            <w:tcW w:w="25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5"/>
                <w:szCs w:val="15"/>
                <w:highlight w:val="none"/>
              </w:rPr>
              <w:t>99</w:t>
            </w:r>
          </w:p>
        </w:tc>
        <w:tc>
          <w:tcPr>
            <w:tcW w:w="2420"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5"/>
                <w:szCs w:val="15"/>
                <w:highlight w:val="none"/>
              </w:rPr>
              <w:t xml:space="preserve">    其他支出</w:t>
            </w:r>
          </w:p>
        </w:tc>
        <w:tc>
          <w:tcPr>
            <w:tcW w:w="1108" w:type="dxa"/>
            <w:shd w:val="clear" w:color="auto" w:fill="auto"/>
            <w:vAlign w:val="center"/>
          </w:tcPr>
          <w:p>
            <w:pPr>
              <w:jc w:val="right"/>
              <w:rPr>
                <w:rFonts w:hint="eastAsia" w:ascii="宋体" w:hAnsi="宋体"/>
                <w:sz w:val="18"/>
                <w:szCs w:val="18"/>
                <w:highlight w:val="none"/>
              </w:rPr>
            </w:pPr>
            <w:r>
              <w:rPr>
                <w:rFonts w:hint="eastAsia" w:ascii="宋体" w:hAnsi="宋体"/>
                <w:color w:val="000000"/>
                <w:sz w:val="15"/>
                <w:szCs w:val="15"/>
                <w:highlight w:val="none"/>
              </w:rPr>
              <w:t>7.85</w:t>
            </w:r>
          </w:p>
        </w:tc>
        <w:tc>
          <w:tcPr>
            <w:tcW w:w="1067" w:type="dxa"/>
            <w:shd w:val="clear" w:color="auto" w:fill="auto"/>
            <w:vAlign w:val="center"/>
          </w:tcPr>
          <w:p>
            <w:pPr>
              <w:jc w:val="right"/>
              <w:rPr>
                <w:rFonts w:hint="eastAsia" w:ascii="宋体" w:hAnsi="宋体"/>
                <w:sz w:val="18"/>
                <w:szCs w:val="18"/>
                <w:highlight w:val="none"/>
              </w:rPr>
            </w:pPr>
          </w:p>
        </w:tc>
        <w:tc>
          <w:tcPr>
            <w:tcW w:w="1067" w:type="dxa"/>
            <w:shd w:val="clear" w:color="auto" w:fill="auto"/>
            <w:vAlign w:val="center"/>
          </w:tcPr>
          <w:p>
            <w:pPr>
              <w:jc w:val="right"/>
              <w:rPr>
                <w:rFonts w:hint="eastAsia" w:ascii="宋体" w:hAnsi="宋体"/>
                <w:sz w:val="18"/>
                <w:szCs w:val="18"/>
                <w:highlight w:val="none"/>
              </w:rPr>
            </w:pPr>
          </w:p>
        </w:tc>
        <w:tc>
          <w:tcPr>
            <w:tcW w:w="1067" w:type="dxa"/>
            <w:shd w:val="clear" w:color="auto" w:fill="auto"/>
            <w:vAlign w:val="center"/>
          </w:tcPr>
          <w:p>
            <w:pPr>
              <w:jc w:val="right"/>
              <w:rPr>
                <w:rFonts w:hint="eastAsia" w:ascii="宋体" w:hAnsi="宋体"/>
                <w:sz w:val="15"/>
                <w:szCs w:val="15"/>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963" w:type="dxa"/>
            <w:shd w:val="clear" w:color="auto" w:fill="auto"/>
            <w:vAlign w:val="center"/>
          </w:tcPr>
          <w:p>
            <w:pPr>
              <w:jc w:val="right"/>
              <w:rPr>
                <w:rFonts w:hint="eastAsia" w:ascii="宋体" w:hAnsi="宋体"/>
                <w:sz w:val="18"/>
                <w:szCs w:val="18"/>
                <w:highlight w:val="none"/>
              </w:rPr>
            </w:pPr>
          </w:p>
        </w:tc>
        <w:tc>
          <w:tcPr>
            <w:tcW w:w="93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sz w:val="18"/>
                <w:szCs w:val="18"/>
                <w:highlight w:val="none"/>
              </w:rPr>
            </w:pPr>
          </w:p>
        </w:tc>
        <w:tc>
          <w:tcPr>
            <w:tcW w:w="874"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7.85</w:t>
            </w:r>
          </w:p>
        </w:tc>
        <w:tc>
          <w:tcPr>
            <w:tcW w:w="874" w:type="dxa"/>
            <w:shd w:val="clear" w:color="auto" w:fill="auto"/>
            <w:vAlign w:val="center"/>
          </w:tcPr>
          <w:p>
            <w:pPr>
              <w:jc w:val="right"/>
              <w:rPr>
                <w:rFonts w:hint="eastAsia" w:ascii="宋体" w:hAnsi="宋体"/>
                <w:color w:val="000000"/>
                <w:sz w:val="18"/>
                <w:szCs w:val="18"/>
                <w:highlight w:val="none"/>
              </w:rPr>
            </w:pPr>
          </w:p>
        </w:tc>
      </w:tr>
    </w:tbl>
    <w:p>
      <w:pPr>
        <w:widowControl/>
        <w:jc w:val="left"/>
        <w:rPr>
          <w:rFonts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jc w:val="left"/>
        <w:rPr>
          <w:rFonts w:hint="eastAsia" w:ascii="宋体" w:hAnsi="宋体"/>
          <w:color w:val="000000"/>
          <w:sz w:val="18"/>
          <w:szCs w:val="18"/>
          <w:highlight w:val="none"/>
        </w:rPr>
      </w:pPr>
      <w:r>
        <w:rPr>
          <w:rFonts w:hint="eastAsia" w:ascii="宋体" w:hAnsi="宋体"/>
          <w:color w:val="000000"/>
          <w:sz w:val="18"/>
          <w:szCs w:val="18"/>
          <w:highlight w:val="none"/>
        </w:rPr>
        <w:t>表3</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部门支出总体情况表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169"/>
        <w:gridCol w:w="1306"/>
        <w:gridCol w:w="1032"/>
        <w:gridCol w:w="27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8175" w:type="dxa"/>
            <w:gridSpan w:val="6"/>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编制部门：皮山县社会保险服务中心</w:t>
            </w:r>
          </w:p>
        </w:tc>
        <w:tc>
          <w:tcPr>
            <w:tcW w:w="1679"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837"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4017" w:type="dxa"/>
            <w:gridSpan w:val="4"/>
            <w:shd w:val="clear" w:color="auto" w:fill="auto"/>
            <w:vAlign w:val="center"/>
          </w:tcPr>
          <w:p>
            <w:pPr>
              <w:jc w:val="center"/>
              <w:rPr>
                <w:sz w:val="18"/>
                <w:szCs w:val="18"/>
                <w:highlight w:val="none"/>
              </w:rPr>
            </w:pPr>
            <w:r>
              <w:rPr>
                <w:rFonts w:hint="eastAsia"/>
                <w:sz w:val="18"/>
                <w:szCs w:val="18"/>
                <w:highlight w:val="none"/>
              </w:rPr>
              <w:t>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4169"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306"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06" w:type="dxa"/>
            <w:gridSpan w:val="2"/>
            <w:vMerge w:val="restart"/>
            <w:shd w:val="clear" w:color="auto" w:fill="auto"/>
            <w:vAlign w:val="center"/>
          </w:tcPr>
          <w:p>
            <w:pPr>
              <w:jc w:val="center"/>
              <w:rPr>
                <w:sz w:val="18"/>
                <w:szCs w:val="18"/>
                <w:highlight w:val="none"/>
              </w:rPr>
            </w:pPr>
            <w:r>
              <w:rPr>
                <w:rFonts w:hint="eastAsia"/>
                <w:sz w:val="18"/>
                <w:szCs w:val="18"/>
                <w:highlight w:val="none"/>
              </w:rPr>
              <w:t>基本支出</w:t>
            </w:r>
          </w:p>
        </w:tc>
        <w:tc>
          <w:tcPr>
            <w:tcW w:w="1405"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4169" w:type="dxa"/>
            <w:vMerge w:val="continue"/>
            <w:shd w:val="clear" w:color="auto" w:fill="auto"/>
            <w:vAlign w:val="center"/>
          </w:tcPr>
          <w:p>
            <w:pPr>
              <w:jc w:val="center"/>
              <w:rPr>
                <w:sz w:val="18"/>
                <w:szCs w:val="18"/>
                <w:highlight w:val="none"/>
              </w:rPr>
            </w:pPr>
          </w:p>
        </w:tc>
        <w:tc>
          <w:tcPr>
            <w:tcW w:w="1306" w:type="dxa"/>
            <w:vMerge w:val="continue"/>
            <w:shd w:val="clear" w:color="auto" w:fill="auto"/>
            <w:vAlign w:val="center"/>
          </w:tcPr>
          <w:p>
            <w:pPr>
              <w:jc w:val="center"/>
              <w:rPr>
                <w:sz w:val="18"/>
                <w:szCs w:val="18"/>
                <w:highlight w:val="none"/>
              </w:rPr>
            </w:pPr>
          </w:p>
        </w:tc>
        <w:tc>
          <w:tcPr>
            <w:tcW w:w="1306" w:type="dxa"/>
            <w:gridSpan w:val="2"/>
            <w:vMerge w:val="continue"/>
            <w:shd w:val="clear" w:color="auto" w:fill="auto"/>
            <w:vAlign w:val="center"/>
          </w:tcPr>
          <w:p>
            <w:pPr>
              <w:jc w:val="center"/>
              <w:rPr>
                <w:sz w:val="18"/>
                <w:szCs w:val="18"/>
                <w:highlight w:val="none"/>
              </w:rPr>
            </w:pPr>
          </w:p>
        </w:tc>
        <w:tc>
          <w:tcPr>
            <w:tcW w:w="1405"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14"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169"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06" w:type="dxa"/>
            <w:shd w:val="clear" w:color="auto" w:fill="auto"/>
            <w:vAlign w:val="center"/>
          </w:tcPr>
          <w:p>
            <w:pPr>
              <w:jc w:val="center"/>
              <w:rPr>
                <w:sz w:val="18"/>
                <w:szCs w:val="18"/>
                <w:highlight w:val="none"/>
              </w:rPr>
            </w:pPr>
            <w:r>
              <w:rPr>
                <w:rFonts w:hint="eastAsia"/>
                <w:sz w:val="18"/>
                <w:szCs w:val="18"/>
                <w:highlight w:val="none"/>
              </w:rPr>
              <w:t>1</w:t>
            </w:r>
          </w:p>
        </w:tc>
        <w:tc>
          <w:tcPr>
            <w:tcW w:w="130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05"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p>
        </w:tc>
        <w:tc>
          <w:tcPr>
            <w:tcW w:w="567" w:type="dxa"/>
            <w:shd w:val="clear" w:color="auto" w:fill="auto"/>
            <w:vAlign w:val="center"/>
          </w:tcPr>
          <w:p>
            <w:pPr>
              <w:jc w:val="center"/>
              <w:rPr>
                <w:rFonts w:hint="eastAsia" w:ascii="宋体" w:hAnsi="宋体"/>
                <w:b/>
                <w:sz w:val="18"/>
                <w:szCs w:val="18"/>
                <w:highlight w:val="none"/>
              </w:rPr>
            </w:pP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总计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1,462.69</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350.46</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eastAsia" w:ascii="宋体" w:hAnsi="宋体"/>
                <w:b/>
                <w:sz w:val="18"/>
                <w:szCs w:val="18"/>
                <w:highlight w:val="none"/>
              </w:rPr>
            </w:pP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社会保障和就业支出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1,408.00</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303.62</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1,104.38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01</w:t>
            </w: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 xml:space="preserve">  人力资源和社会保障管理事务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281.37</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227.60</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53.78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行政运行</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277.60</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227.60</w:t>
            </w: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09</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社会保险经办机构</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3.78</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05</w:t>
            </w: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 xml:space="preserve">  行政事业单位养老支出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76.02</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76.02</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事业单位离退休</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20.88</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20.88</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05</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机关事业单位基本养老保险缴费支出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30.13</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30.13</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06</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机关事业单位职业年金缴费支出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25.00</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25.00</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26</w:t>
            </w: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 xml:space="preserve">  财政对基本养老保险基金的补助</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1,050.61</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1,050.61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26</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财政对企业职工基本养老保险基金的补助</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52.50</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52.50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26</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财政对城乡居民基本养老保险基金的补助</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998.11</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998.11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eastAsia" w:ascii="宋体" w:hAnsi="宋体"/>
                <w:b/>
                <w:sz w:val="18"/>
                <w:szCs w:val="18"/>
                <w:highlight w:val="none"/>
              </w:rPr>
            </w:pP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卫生健康支出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24.24</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24.24</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11</w:t>
            </w: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 xml:space="preserve">  行政事业单位医疗</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24.24</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24.24</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事业单位医疗</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12.24</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12.24</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03</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公务员医疗补助</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12.00</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12.00</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rFonts w:hint="eastAsia" w:ascii="宋体" w:hAnsi="宋体"/>
                <w:b/>
                <w:sz w:val="18"/>
                <w:szCs w:val="18"/>
                <w:highlight w:val="none"/>
              </w:rPr>
            </w:pP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住房保障支出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22.60</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22.60</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02</w:t>
            </w: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 xml:space="preserve">  住房改革支出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22.60</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22.60</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221</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02</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住房公积金</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22.60</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22.60</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229</w:t>
            </w:r>
          </w:p>
        </w:tc>
        <w:tc>
          <w:tcPr>
            <w:tcW w:w="567" w:type="dxa"/>
            <w:shd w:val="clear" w:color="auto" w:fill="auto"/>
            <w:vAlign w:val="center"/>
          </w:tcPr>
          <w:p>
            <w:pPr>
              <w:jc w:val="center"/>
              <w:rPr>
                <w:rFonts w:hint="eastAsia" w:ascii="宋体" w:hAnsi="宋体"/>
                <w:b/>
                <w:sz w:val="18"/>
                <w:szCs w:val="18"/>
                <w:highlight w:val="none"/>
              </w:rPr>
            </w:pP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其他支出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7.85</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229</w:t>
            </w:r>
          </w:p>
        </w:tc>
        <w:tc>
          <w:tcPr>
            <w:tcW w:w="567" w:type="dxa"/>
            <w:shd w:val="clear" w:color="auto" w:fill="auto"/>
            <w:vAlign w:val="center"/>
          </w:tcPr>
          <w:p>
            <w:pPr>
              <w:jc w:val="center"/>
              <w:rPr>
                <w:rFonts w:hint="eastAsia" w:ascii="宋体" w:hAnsi="宋体"/>
                <w:b/>
                <w:sz w:val="18"/>
                <w:szCs w:val="18"/>
                <w:highlight w:val="none"/>
              </w:rPr>
            </w:pPr>
            <w:r>
              <w:rPr>
                <w:rFonts w:hint="eastAsia" w:ascii="宋体" w:hAnsi="宋体"/>
                <w:b/>
                <w:color w:val="000000"/>
                <w:sz w:val="18"/>
                <w:szCs w:val="18"/>
                <w:highlight w:val="none"/>
              </w:rPr>
              <w:t>99</w:t>
            </w:r>
          </w:p>
        </w:tc>
        <w:tc>
          <w:tcPr>
            <w:tcW w:w="567" w:type="dxa"/>
            <w:shd w:val="clear" w:color="auto" w:fill="auto"/>
            <w:vAlign w:val="center"/>
          </w:tcPr>
          <w:p>
            <w:pPr>
              <w:jc w:val="center"/>
              <w:rPr>
                <w:rFonts w:hint="eastAsia" w:ascii="宋体" w:hAnsi="宋体"/>
                <w:b/>
                <w:sz w:val="18"/>
                <w:szCs w:val="18"/>
                <w:highlight w:val="none"/>
              </w:rPr>
            </w:pPr>
          </w:p>
        </w:tc>
        <w:tc>
          <w:tcPr>
            <w:tcW w:w="4169" w:type="dxa"/>
            <w:shd w:val="clear" w:color="auto" w:fill="auto"/>
            <w:vAlign w:val="center"/>
          </w:tcPr>
          <w:p>
            <w:pPr>
              <w:jc w:val="left"/>
              <w:rPr>
                <w:rFonts w:hint="eastAsia" w:ascii="宋体" w:hAnsi="宋体"/>
                <w:b/>
                <w:sz w:val="18"/>
                <w:szCs w:val="18"/>
                <w:highlight w:val="none"/>
              </w:rPr>
            </w:pPr>
            <w:r>
              <w:rPr>
                <w:rFonts w:hint="eastAsia" w:ascii="宋体" w:hAnsi="宋体"/>
                <w:b/>
                <w:color w:val="000000"/>
                <w:sz w:val="18"/>
                <w:szCs w:val="18"/>
                <w:highlight w:val="none"/>
              </w:rPr>
              <w:t xml:space="preserve">  其他支出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7.85</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229</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99</w:t>
            </w:r>
          </w:p>
        </w:tc>
        <w:tc>
          <w:tcPr>
            <w:tcW w:w="567" w:type="dxa"/>
            <w:shd w:val="clear" w:color="auto" w:fill="auto"/>
            <w:vAlign w:val="center"/>
          </w:tcPr>
          <w:p>
            <w:pPr>
              <w:jc w:val="center"/>
              <w:rPr>
                <w:rFonts w:hint="eastAsia"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eastAsia" w:ascii="宋体" w:hAnsi="宋体"/>
                <w:sz w:val="18"/>
                <w:szCs w:val="18"/>
                <w:highlight w:val="none"/>
              </w:rPr>
            </w:pPr>
            <w:r>
              <w:rPr>
                <w:rFonts w:hint="eastAsia" w:ascii="宋体" w:hAnsi="宋体"/>
                <w:color w:val="000000"/>
                <w:sz w:val="18"/>
                <w:szCs w:val="18"/>
                <w:highlight w:val="none"/>
              </w:rPr>
              <w:t xml:space="preserve">    其他支出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7.85</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7.85</w:t>
            </w:r>
          </w:p>
        </w:tc>
      </w:tr>
    </w:tbl>
    <w:p>
      <w:pPr>
        <w:widowControl/>
        <w:jc w:val="left"/>
        <w:rPr>
          <w:rFonts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jc w:val="left"/>
        <w:rPr>
          <w:rFonts w:hint="eastAsia" w:ascii="宋体" w:hAnsi="宋体"/>
          <w:color w:val="000000"/>
          <w:sz w:val="18"/>
          <w:szCs w:val="18"/>
          <w:highlight w:val="none"/>
        </w:rPr>
      </w:pPr>
      <w:r>
        <w:rPr>
          <w:rFonts w:hint="eastAsia" w:ascii="宋体" w:hAnsi="宋体"/>
          <w:color w:val="000000"/>
          <w:sz w:val="18"/>
          <w:szCs w:val="18"/>
          <w:highlight w:val="none"/>
        </w:rPr>
        <w:t>表4</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财政拨款收支预算总体情况表</w:t>
      </w:r>
    </w:p>
    <w:tbl>
      <w:tblPr>
        <w:tblStyle w:val="8"/>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1982"/>
        <w:gridCol w:w="1117"/>
        <w:gridCol w:w="2434"/>
        <w:gridCol w:w="1117"/>
        <w:gridCol w:w="52"/>
        <w:gridCol w:w="1011"/>
        <w:gridCol w:w="108"/>
        <w:gridCol w:w="955"/>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6702" w:type="dxa"/>
            <w:gridSpan w:val="5"/>
            <w:tcBorders>
              <w:top w:val="nil"/>
              <w:left w:val="nil"/>
              <w:right w:val="nil"/>
            </w:tcBorders>
            <w:shd w:val="clear" w:color="auto" w:fill="auto"/>
            <w:vAlign w:val="center"/>
          </w:tcPr>
          <w:p>
            <w:pPr>
              <w:jc w:val="left"/>
              <w:rPr>
                <w:color w:val="000000"/>
                <w:sz w:val="18"/>
                <w:szCs w:val="18"/>
                <w:highlight w:val="none"/>
              </w:rPr>
            </w:pPr>
            <w:r>
              <w:rPr>
                <w:rFonts w:hint="eastAsia"/>
                <w:color w:val="000000"/>
                <w:sz w:val="18"/>
                <w:szCs w:val="18"/>
                <w:highlight w:val="none"/>
              </w:rPr>
              <w:t>编制部门：皮山县社会保险服务中心</w:t>
            </w:r>
          </w:p>
        </w:tc>
        <w:tc>
          <w:tcPr>
            <w:tcW w:w="1119" w:type="dxa"/>
            <w:gridSpan w:val="2"/>
            <w:tcBorders>
              <w:top w:val="nil"/>
              <w:left w:val="nil"/>
              <w:right w:val="nil"/>
            </w:tcBorders>
            <w:shd w:val="clear" w:color="auto" w:fill="auto"/>
          </w:tcPr>
          <w:p>
            <w:pPr>
              <w:jc w:val="right"/>
              <w:rPr>
                <w:color w:val="000000"/>
                <w:sz w:val="18"/>
                <w:szCs w:val="18"/>
                <w:highlight w:val="none"/>
              </w:rPr>
            </w:pPr>
          </w:p>
        </w:tc>
        <w:tc>
          <w:tcPr>
            <w:tcW w:w="2006" w:type="dxa"/>
            <w:gridSpan w:val="2"/>
            <w:tcBorders>
              <w:top w:val="nil"/>
              <w:left w:val="nil"/>
              <w:right w:val="nil"/>
            </w:tcBorders>
            <w:shd w:val="clear" w:color="auto" w:fill="auto"/>
            <w:vAlign w:val="center"/>
          </w:tcPr>
          <w:p>
            <w:pPr>
              <w:jc w:val="right"/>
              <w:rPr>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3099" w:type="dxa"/>
            <w:gridSpan w:val="2"/>
            <w:shd w:val="clear" w:color="auto" w:fill="auto"/>
            <w:vAlign w:val="center"/>
          </w:tcPr>
          <w:p>
            <w:pPr>
              <w:jc w:val="center"/>
              <w:rPr>
                <w:b/>
                <w:color w:val="000000"/>
                <w:sz w:val="18"/>
                <w:szCs w:val="18"/>
                <w:highlight w:val="none"/>
              </w:rPr>
            </w:pPr>
            <w:r>
              <w:rPr>
                <w:rFonts w:hint="eastAsia"/>
                <w:b/>
                <w:color w:val="000000"/>
                <w:sz w:val="18"/>
                <w:szCs w:val="18"/>
                <w:highlight w:val="none"/>
              </w:rPr>
              <w:t>财政拨款收入</w:t>
            </w:r>
          </w:p>
        </w:tc>
        <w:tc>
          <w:tcPr>
            <w:tcW w:w="6728" w:type="dxa"/>
            <w:gridSpan w:val="7"/>
            <w:shd w:val="clear" w:color="auto" w:fill="auto"/>
            <w:vAlign w:val="center"/>
          </w:tcPr>
          <w:p>
            <w:pPr>
              <w:jc w:val="center"/>
              <w:rPr>
                <w:b/>
                <w:color w:val="000000"/>
                <w:sz w:val="18"/>
                <w:szCs w:val="18"/>
                <w:highlight w:val="none"/>
              </w:rPr>
            </w:pPr>
            <w:r>
              <w:rPr>
                <w:rFonts w:hint="eastAsia"/>
                <w:b/>
                <w:color w:val="000000"/>
                <w:sz w:val="18"/>
                <w:szCs w:val="18"/>
                <w:highlight w:val="none"/>
              </w:rPr>
              <w:t>财政拨款支出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1982" w:type="dxa"/>
            <w:shd w:val="clear" w:color="auto" w:fill="auto"/>
            <w:vAlign w:val="center"/>
          </w:tcPr>
          <w:p>
            <w:pPr>
              <w:jc w:val="center"/>
              <w:rPr>
                <w:color w:val="000000"/>
                <w:sz w:val="18"/>
                <w:szCs w:val="18"/>
                <w:highlight w:val="none"/>
              </w:rPr>
            </w:pPr>
            <w:r>
              <w:rPr>
                <w:rFonts w:hint="eastAsia"/>
                <w:b/>
                <w:color w:val="000000"/>
                <w:sz w:val="18"/>
                <w:szCs w:val="18"/>
                <w:highlight w:val="none"/>
              </w:rPr>
              <w:t>项目</w:t>
            </w:r>
          </w:p>
        </w:tc>
        <w:tc>
          <w:tcPr>
            <w:tcW w:w="1117" w:type="dxa"/>
            <w:shd w:val="clear" w:color="auto" w:fill="auto"/>
            <w:vAlign w:val="center"/>
          </w:tcPr>
          <w:p>
            <w:pPr>
              <w:jc w:val="center"/>
              <w:rPr>
                <w:color w:val="000000"/>
                <w:sz w:val="18"/>
                <w:szCs w:val="18"/>
                <w:highlight w:val="none"/>
              </w:rPr>
            </w:pPr>
            <w:r>
              <w:rPr>
                <w:rFonts w:hint="eastAsia"/>
                <w:b/>
                <w:color w:val="000000"/>
                <w:sz w:val="18"/>
                <w:szCs w:val="18"/>
                <w:highlight w:val="none"/>
              </w:rPr>
              <w:t>合计</w:t>
            </w:r>
          </w:p>
        </w:tc>
        <w:tc>
          <w:tcPr>
            <w:tcW w:w="2434" w:type="dxa"/>
            <w:shd w:val="clear" w:color="auto" w:fill="auto"/>
            <w:vAlign w:val="center"/>
          </w:tcPr>
          <w:p>
            <w:pPr>
              <w:jc w:val="center"/>
              <w:rPr>
                <w:color w:val="000000"/>
                <w:sz w:val="18"/>
                <w:szCs w:val="18"/>
                <w:highlight w:val="none"/>
              </w:rPr>
            </w:pPr>
            <w:r>
              <w:rPr>
                <w:rFonts w:hint="eastAsia"/>
                <w:b/>
                <w:color w:val="000000"/>
                <w:sz w:val="18"/>
                <w:szCs w:val="18"/>
                <w:highlight w:val="none"/>
              </w:rPr>
              <w:t>功能分类</w:t>
            </w:r>
          </w:p>
        </w:tc>
        <w:tc>
          <w:tcPr>
            <w:tcW w:w="1117" w:type="dxa"/>
            <w:shd w:val="clear" w:color="auto" w:fill="auto"/>
            <w:vAlign w:val="center"/>
          </w:tcPr>
          <w:p>
            <w:pPr>
              <w:jc w:val="center"/>
              <w:rPr>
                <w:color w:val="000000"/>
                <w:sz w:val="18"/>
                <w:szCs w:val="18"/>
                <w:highlight w:val="none"/>
              </w:rPr>
            </w:pPr>
            <w:r>
              <w:rPr>
                <w:rFonts w:hint="eastAsia"/>
                <w:b/>
                <w:color w:val="000000"/>
                <w:sz w:val="18"/>
                <w:szCs w:val="18"/>
                <w:highlight w:val="none"/>
              </w:rPr>
              <w:t>合计</w:t>
            </w:r>
          </w:p>
        </w:tc>
        <w:tc>
          <w:tcPr>
            <w:tcW w:w="1063" w:type="dxa"/>
            <w:gridSpan w:val="2"/>
            <w:shd w:val="clear" w:color="auto" w:fill="auto"/>
            <w:vAlign w:val="center"/>
          </w:tcPr>
          <w:p>
            <w:pPr>
              <w:jc w:val="center"/>
              <w:rPr>
                <w:color w:val="000000"/>
                <w:sz w:val="18"/>
                <w:szCs w:val="18"/>
                <w:highlight w:val="none"/>
              </w:rPr>
            </w:pPr>
            <w:r>
              <w:rPr>
                <w:rFonts w:hint="eastAsia"/>
                <w:b/>
                <w:color w:val="000000"/>
                <w:sz w:val="18"/>
                <w:szCs w:val="18"/>
                <w:highlight w:val="none"/>
              </w:rPr>
              <w:t>一般公共预算</w:t>
            </w:r>
          </w:p>
        </w:tc>
        <w:tc>
          <w:tcPr>
            <w:tcW w:w="1063" w:type="dxa"/>
            <w:gridSpan w:val="2"/>
            <w:shd w:val="clear" w:color="auto" w:fill="auto"/>
            <w:vAlign w:val="center"/>
          </w:tcPr>
          <w:p>
            <w:pPr>
              <w:jc w:val="center"/>
              <w:rPr>
                <w:color w:val="000000"/>
                <w:sz w:val="18"/>
                <w:szCs w:val="18"/>
                <w:highlight w:val="none"/>
              </w:rPr>
            </w:pPr>
            <w:r>
              <w:rPr>
                <w:rFonts w:hint="eastAsia"/>
                <w:b/>
                <w:color w:val="000000"/>
                <w:sz w:val="18"/>
                <w:szCs w:val="18"/>
                <w:highlight w:val="none"/>
              </w:rPr>
              <w:t>政府性基金预算</w:t>
            </w:r>
          </w:p>
        </w:tc>
        <w:tc>
          <w:tcPr>
            <w:tcW w:w="1051" w:type="dxa"/>
            <w:shd w:val="clear" w:color="auto" w:fill="auto"/>
            <w:vAlign w:val="center"/>
          </w:tcPr>
          <w:p>
            <w:pPr>
              <w:jc w:val="center"/>
              <w:rPr>
                <w:color w:val="000000"/>
                <w:sz w:val="18"/>
                <w:szCs w:val="18"/>
                <w:highlight w:val="none"/>
              </w:rPr>
            </w:pPr>
            <w:r>
              <w:rPr>
                <w:rFonts w:hint="eastAsia"/>
                <w:b/>
                <w:color w:val="000000"/>
                <w:sz w:val="18"/>
                <w:szCs w:val="18"/>
                <w:highlight w:val="none"/>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eastAsia" w:ascii="宋体" w:hAnsi="宋体" w:cs="宋体"/>
                <w:color w:val="000000"/>
                <w:sz w:val="18"/>
                <w:szCs w:val="18"/>
                <w:highlight w:val="none"/>
              </w:rPr>
            </w:pPr>
            <w:r>
              <w:rPr>
                <w:rFonts w:hint="eastAsia"/>
                <w:b/>
                <w:color w:val="000000"/>
                <w:sz w:val="18"/>
                <w:szCs w:val="18"/>
                <w:highlight w:val="none"/>
              </w:rPr>
              <w:t>一、财政拨款（补助）</w:t>
            </w:r>
          </w:p>
        </w:tc>
        <w:tc>
          <w:tcPr>
            <w:tcW w:w="1117" w:type="dxa"/>
            <w:shd w:val="clear" w:color="auto" w:fill="auto"/>
          </w:tcPr>
          <w:p>
            <w:pPr>
              <w:jc w:val="right"/>
              <w:rPr>
                <w:rFonts w:hint="eastAsia" w:ascii="宋体" w:hAnsi="宋体"/>
                <w:color w:val="000000"/>
                <w:sz w:val="18"/>
                <w:szCs w:val="18"/>
                <w:highlight w:val="none"/>
              </w:rPr>
            </w:pPr>
            <w:r>
              <w:rPr>
                <w:rFonts w:hint="eastAsia" w:ascii="宋体" w:hAnsi="宋体"/>
                <w:b/>
                <w:color w:val="000000"/>
                <w:sz w:val="18"/>
                <w:szCs w:val="18"/>
                <w:highlight w:val="none"/>
              </w:rPr>
              <w:t>1,404.56</w:t>
            </w: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201 一般公共服务支出</w:t>
            </w:r>
          </w:p>
        </w:tc>
        <w:tc>
          <w:tcPr>
            <w:tcW w:w="1117" w:type="dxa"/>
            <w:shd w:val="clear" w:color="auto" w:fill="auto"/>
          </w:tcPr>
          <w:p>
            <w:pPr>
              <w:jc w:val="right"/>
              <w:rPr>
                <w:rFonts w:hint="eastAsia" w:ascii="宋体" w:hAnsi="宋体"/>
                <w:color w:val="000000"/>
                <w:sz w:val="18"/>
                <w:szCs w:val="18"/>
                <w:highlight w:val="none"/>
              </w:rPr>
            </w:pPr>
          </w:p>
        </w:tc>
        <w:tc>
          <w:tcPr>
            <w:tcW w:w="1063" w:type="dxa"/>
            <w:gridSpan w:val="2"/>
            <w:shd w:val="clear" w:color="auto" w:fill="auto"/>
          </w:tcPr>
          <w:p>
            <w:pPr>
              <w:jc w:val="right"/>
              <w:rPr>
                <w:rFonts w:hint="eastAsia" w:ascii="宋体" w:hAnsi="宋体"/>
                <w:color w:val="000000"/>
                <w:sz w:val="18"/>
                <w:szCs w:val="18"/>
                <w:highlight w:val="none"/>
              </w:rPr>
            </w:pPr>
          </w:p>
        </w:tc>
        <w:tc>
          <w:tcPr>
            <w:tcW w:w="1063" w:type="dxa"/>
            <w:gridSpan w:val="2"/>
            <w:shd w:val="clear" w:color="auto" w:fill="auto"/>
          </w:tcPr>
          <w:p>
            <w:pPr>
              <w:jc w:val="right"/>
              <w:rPr>
                <w:rFonts w:hint="eastAsia" w:ascii="宋体" w:hAnsi="宋体"/>
                <w:color w:val="000000"/>
                <w:sz w:val="18"/>
                <w:szCs w:val="18"/>
                <w:highlight w:val="none"/>
              </w:rPr>
            </w:pPr>
          </w:p>
        </w:tc>
        <w:tc>
          <w:tcPr>
            <w:tcW w:w="1051" w:type="dxa"/>
            <w:shd w:val="clear" w:color="auto" w:fill="auto"/>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eastAsia" w:ascii="宋体" w:hAnsi="宋体" w:cs="宋体"/>
                <w:color w:val="000000"/>
                <w:sz w:val="18"/>
                <w:szCs w:val="18"/>
                <w:highlight w:val="none"/>
              </w:rPr>
            </w:pPr>
            <w:r>
              <w:rPr>
                <w:rFonts w:hint="eastAsia"/>
                <w:color w:val="000000"/>
                <w:sz w:val="18"/>
                <w:szCs w:val="18"/>
                <w:highlight w:val="none"/>
              </w:rPr>
              <w:t>一般公共预算</w:t>
            </w:r>
          </w:p>
        </w:tc>
        <w:tc>
          <w:tcPr>
            <w:tcW w:w="1117" w:type="dxa"/>
            <w:shd w:val="clear" w:color="auto" w:fill="auto"/>
          </w:tcPr>
          <w:p>
            <w:pPr>
              <w:jc w:val="right"/>
              <w:rPr>
                <w:rFonts w:hint="eastAsia" w:ascii="宋体" w:hAnsi="宋体"/>
                <w:color w:val="000000"/>
                <w:sz w:val="18"/>
                <w:szCs w:val="18"/>
                <w:highlight w:val="none"/>
              </w:rPr>
            </w:pPr>
            <w:r>
              <w:rPr>
                <w:rFonts w:hint="eastAsia" w:ascii="宋体" w:hAnsi="宋体"/>
                <w:color w:val="000000"/>
                <w:sz w:val="18"/>
                <w:szCs w:val="18"/>
                <w:highlight w:val="none"/>
              </w:rPr>
              <w:t>1,404.56</w:t>
            </w: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202 外交支出</w:t>
            </w:r>
          </w:p>
        </w:tc>
        <w:tc>
          <w:tcPr>
            <w:tcW w:w="1117" w:type="dxa"/>
            <w:shd w:val="clear" w:color="auto" w:fill="auto"/>
          </w:tcPr>
          <w:p>
            <w:pPr>
              <w:jc w:val="right"/>
              <w:rPr>
                <w:rFonts w:hint="eastAsia" w:ascii="宋体" w:hAnsi="宋体"/>
                <w:color w:val="000000"/>
                <w:sz w:val="18"/>
                <w:szCs w:val="18"/>
                <w:highlight w:val="none"/>
              </w:rPr>
            </w:pPr>
          </w:p>
        </w:tc>
        <w:tc>
          <w:tcPr>
            <w:tcW w:w="1063" w:type="dxa"/>
            <w:gridSpan w:val="2"/>
            <w:shd w:val="clear" w:color="auto" w:fill="auto"/>
          </w:tcPr>
          <w:p>
            <w:pPr>
              <w:jc w:val="right"/>
              <w:rPr>
                <w:rFonts w:hint="eastAsia" w:ascii="宋体" w:hAnsi="宋体"/>
                <w:color w:val="000000"/>
                <w:sz w:val="18"/>
                <w:szCs w:val="18"/>
                <w:highlight w:val="none"/>
              </w:rPr>
            </w:pPr>
          </w:p>
        </w:tc>
        <w:tc>
          <w:tcPr>
            <w:tcW w:w="1063" w:type="dxa"/>
            <w:gridSpan w:val="2"/>
            <w:shd w:val="clear" w:color="auto" w:fill="auto"/>
          </w:tcPr>
          <w:p>
            <w:pPr>
              <w:jc w:val="right"/>
              <w:rPr>
                <w:rFonts w:hint="eastAsia" w:ascii="宋体" w:hAnsi="宋体"/>
                <w:color w:val="000000"/>
                <w:sz w:val="18"/>
                <w:szCs w:val="18"/>
                <w:highlight w:val="none"/>
              </w:rPr>
            </w:pPr>
          </w:p>
        </w:tc>
        <w:tc>
          <w:tcPr>
            <w:tcW w:w="1051" w:type="dxa"/>
            <w:shd w:val="clear" w:color="auto" w:fill="auto"/>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eastAsia" w:ascii="宋体" w:hAnsi="宋体" w:cs="宋体"/>
                <w:color w:val="000000"/>
                <w:sz w:val="18"/>
                <w:szCs w:val="18"/>
                <w:highlight w:val="none"/>
              </w:rPr>
            </w:pPr>
            <w:r>
              <w:rPr>
                <w:rFonts w:hint="eastAsia"/>
                <w:color w:val="000000"/>
                <w:sz w:val="18"/>
                <w:szCs w:val="18"/>
                <w:highlight w:val="none"/>
              </w:rPr>
              <w:t>政府性基金预算</w:t>
            </w:r>
          </w:p>
        </w:tc>
        <w:tc>
          <w:tcPr>
            <w:tcW w:w="1117" w:type="dxa"/>
            <w:shd w:val="clear" w:color="auto" w:fill="auto"/>
          </w:tcPr>
          <w:p>
            <w:pPr>
              <w:jc w:val="right"/>
              <w:rPr>
                <w:rFonts w:hint="eastAsia" w:ascii="宋体" w:hAnsi="宋体"/>
                <w:color w:val="000000"/>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203 国防支出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eastAsia" w:ascii="宋体" w:hAnsi="宋体" w:cs="宋体"/>
                <w:color w:val="000000"/>
                <w:sz w:val="18"/>
                <w:szCs w:val="18"/>
                <w:highlight w:val="none"/>
              </w:rPr>
            </w:pPr>
            <w:r>
              <w:rPr>
                <w:rFonts w:hint="eastAsia"/>
                <w:color w:val="000000"/>
                <w:sz w:val="18"/>
                <w:szCs w:val="18"/>
                <w:highlight w:val="none"/>
              </w:rPr>
              <w:t>国有资本经营预算</w:t>
            </w:r>
          </w:p>
        </w:tc>
        <w:tc>
          <w:tcPr>
            <w:tcW w:w="1117" w:type="dxa"/>
            <w:shd w:val="clear" w:color="auto" w:fill="auto"/>
          </w:tcPr>
          <w:p>
            <w:pPr>
              <w:jc w:val="right"/>
              <w:rPr>
                <w:rFonts w:hint="eastAsia" w:ascii="宋体" w:hAnsi="宋体"/>
                <w:color w:val="000000"/>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204 公共安全支出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eastAsia"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205 教育支出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eastAsia"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206 科学技术支出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eastAsia"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207 文化旅游体育与传媒支出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eastAsia"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208 社会保障和就业支出</w:t>
            </w:r>
          </w:p>
        </w:tc>
        <w:tc>
          <w:tcPr>
            <w:tcW w:w="1117"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1,357.72</w:t>
            </w:r>
          </w:p>
        </w:tc>
        <w:tc>
          <w:tcPr>
            <w:tcW w:w="1063" w:type="dxa"/>
            <w:gridSpan w:val="2"/>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1,357.72</w:t>
            </w: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eastAsia"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209 社会保险基金支出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210 卫生健康支出</w:t>
            </w:r>
          </w:p>
        </w:tc>
        <w:tc>
          <w:tcPr>
            <w:tcW w:w="1117"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24.24</w:t>
            </w:r>
          </w:p>
        </w:tc>
        <w:tc>
          <w:tcPr>
            <w:tcW w:w="1063" w:type="dxa"/>
            <w:gridSpan w:val="2"/>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24.24</w:t>
            </w: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211 节能环保支出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212 城乡社区支出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213 农林水支出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214 交通运输支出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215 资源勘探工业信息等支出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216 商业服务业等支出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217 金融支出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219 援助其他地区支出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220 自然资源海洋气象等支出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221 住房保障支出</w:t>
            </w:r>
          </w:p>
        </w:tc>
        <w:tc>
          <w:tcPr>
            <w:tcW w:w="1117"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22.60</w:t>
            </w:r>
          </w:p>
        </w:tc>
        <w:tc>
          <w:tcPr>
            <w:tcW w:w="1063" w:type="dxa"/>
            <w:gridSpan w:val="2"/>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8"/>
                <w:szCs w:val="18"/>
                <w:highlight w:val="none"/>
              </w:rPr>
              <w:t>22.60</w:t>
            </w: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222 粮油物资储备支出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223 国有资本经营预算支出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224 灾害防治及应急管理支出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227 预备费</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229 其他支出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230 转移性支出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231 债务还本支出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232 债务付息支出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eastAsia" w:ascii="宋体" w:hAnsi="宋体" w:cs="宋体"/>
                <w:color w:val="000000"/>
                <w:sz w:val="18"/>
                <w:szCs w:val="18"/>
                <w:highlight w:val="none"/>
              </w:rPr>
            </w:pPr>
            <w:r>
              <w:rPr>
                <w:rFonts w:hint="eastAsia" w:ascii="宋体" w:hAnsi="宋体"/>
                <w:color w:val="000000"/>
                <w:sz w:val="18"/>
                <w:szCs w:val="18"/>
                <w:highlight w:val="none"/>
              </w:rPr>
              <w:t>233 债务发行费用支出</w:t>
            </w: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tcPr>
          <w:p>
            <w:pPr>
              <w:rPr>
                <w:rFonts w:hint="eastAsia" w:ascii="宋体" w:hAnsi="宋体" w:cs="宋体"/>
                <w:color w:val="000000"/>
                <w:sz w:val="18"/>
                <w:szCs w:val="18"/>
                <w:highlight w:val="none"/>
              </w:rPr>
            </w:pPr>
          </w:p>
        </w:tc>
        <w:tc>
          <w:tcPr>
            <w:tcW w:w="1117" w:type="dxa"/>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63" w:type="dxa"/>
            <w:gridSpan w:val="2"/>
            <w:shd w:val="clear" w:color="auto" w:fill="auto"/>
            <w:vAlign w:val="center"/>
          </w:tcPr>
          <w:p>
            <w:pPr>
              <w:jc w:val="right"/>
              <w:rPr>
                <w:rFonts w:hint="eastAsia" w:ascii="宋体" w:hAnsi="宋体"/>
                <w:color w:val="000000"/>
                <w:sz w:val="18"/>
                <w:szCs w:val="18"/>
                <w:highlight w:val="none"/>
              </w:rPr>
            </w:pPr>
          </w:p>
        </w:tc>
        <w:tc>
          <w:tcPr>
            <w:tcW w:w="1051"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jc w:val="center"/>
              <w:rPr>
                <w:color w:val="000000"/>
                <w:sz w:val="18"/>
                <w:szCs w:val="18"/>
                <w:highlight w:val="none"/>
              </w:rPr>
            </w:pPr>
            <w:r>
              <w:rPr>
                <w:rFonts w:hint="eastAsia"/>
                <w:b/>
                <w:color w:val="000000"/>
                <w:sz w:val="18"/>
                <w:szCs w:val="18"/>
                <w:highlight w:val="none"/>
              </w:rPr>
              <w:t>收入总计</w:t>
            </w:r>
          </w:p>
        </w:tc>
        <w:tc>
          <w:tcPr>
            <w:tcW w:w="1117" w:type="dxa"/>
            <w:shd w:val="clear" w:color="auto" w:fill="auto"/>
          </w:tcPr>
          <w:p>
            <w:pPr>
              <w:jc w:val="right"/>
              <w:rPr>
                <w:sz w:val="18"/>
                <w:szCs w:val="18"/>
                <w:highlight w:val="none"/>
              </w:rPr>
            </w:pPr>
            <w:r>
              <w:rPr>
                <w:rFonts w:hint="eastAsia" w:ascii="宋体" w:hAnsi="宋体"/>
                <w:b/>
                <w:color w:val="000000"/>
                <w:sz w:val="18"/>
                <w:szCs w:val="18"/>
                <w:highlight w:val="none"/>
              </w:rPr>
              <w:t>1,404.56</w:t>
            </w:r>
          </w:p>
        </w:tc>
        <w:tc>
          <w:tcPr>
            <w:tcW w:w="2434" w:type="dxa"/>
            <w:shd w:val="clear" w:color="auto" w:fill="auto"/>
          </w:tcPr>
          <w:p>
            <w:pPr>
              <w:jc w:val="center"/>
              <w:rPr>
                <w:rFonts w:hint="eastAsia" w:ascii="宋体" w:hAnsi="宋体" w:cs="宋体"/>
                <w:color w:val="000000"/>
                <w:sz w:val="18"/>
                <w:szCs w:val="18"/>
                <w:highlight w:val="none"/>
              </w:rPr>
            </w:pPr>
            <w:r>
              <w:rPr>
                <w:rFonts w:hint="eastAsia"/>
                <w:b/>
                <w:color w:val="000000"/>
                <w:sz w:val="18"/>
                <w:szCs w:val="18"/>
                <w:highlight w:val="none"/>
              </w:rPr>
              <w:t>支出总计</w:t>
            </w:r>
          </w:p>
        </w:tc>
        <w:tc>
          <w:tcPr>
            <w:tcW w:w="1117" w:type="dxa"/>
            <w:shd w:val="clear" w:color="auto" w:fill="auto"/>
          </w:tcPr>
          <w:p>
            <w:pPr>
              <w:jc w:val="right"/>
              <w:rPr>
                <w:sz w:val="18"/>
                <w:szCs w:val="18"/>
                <w:highlight w:val="none"/>
              </w:rPr>
            </w:pPr>
            <w:r>
              <w:rPr>
                <w:rFonts w:hint="eastAsia" w:ascii="宋体" w:hAnsi="宋体"/>
                <w:b/>
                <w:color w:val="000000"/>
                <w:sz w:val="18"/>
                <w:szCs w:val="18"/>
                <w:highlight w:val="none"/>
              </w:rPr>
              <w:t>1,404.56</w:t>
            </w:r>
          </w:p>
        </w:tc>
        <w:tc>
          <w:tcPr>
            <w:tcW w:w="1063" w:type="dxa"/>
            <w:gridSpan w:val="2"/>
            <w:shd w:val="clear" w:color="auto" w:fill="auto"/>
          </w:tcPr>
          <w:p>
            <w:pPr>
              <w:jc w:val="right"/>
              <w:rPr>
                <w:sz w:val="18"/>
                <w:szCs w:val="18"/>
                <w:highlight w:val="none"/>
              </w:rPr>
            </w:pPr>
            <w:r>
              <w:rPr>
                <w:rFonts w:hint="eastAsia" w:ascii="宋体" w:hAnsi="宋体"/>
                <w:b/>
                <w:color w:val="000000"/>
                <w:sz w:val="18"/>
                <w:szCs w:val="18"/>
                <w:highlight w:val="none"/>
              </w:rPr>
              <w:t>1,404.56</w:t>
            </w:r>
          </w:p>
        </w:tc>
        <w:tc>
          <w:tcPr>
            <w:tcW w:w="1063" w:type="dxa"/>
            <w:gridSpan w:val="2"/>
            <w:shd w:val="clear" w:color="auto" w:fill="auto"/>
          </w:tcPr>
          <w:p>
            <w:pPr>
              <w:jc w:val="right"/>
              <w:rPr>
                <w:sz w:val="18"/>
                <w:szCs w:val="18"/>
                <w:highlight w:val="none"/>
              </w:rPr>
            </w:pPr>
          </w:p>
        </w:tc>
        <w:tc>
          <w:tcPr>
            <w:tcW w:w="1051" w:type="dxa"/>
            <w:shd w:val="clear" w:color="auto" w:fill="auto"/>
          </w:tcPr>
          <w:p>
            <w:pPr>
              <w:jc w:val="right"/>
              <w:rPr>
                <w:sz w:val="18"/>
                <w:szCs w:val="18"/>
                <w:highlight w:val="none"/>
              </w:rPr>
            </w:pPr>
          </w:p>
        </w:tc>
      </w:tr>
    </w:tbl>
    <w:p>
      <w:pPr>
        <w:widowControl/>
        <w:jc w:val="left"/>
        <w:rPr>
          <w:rFonts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表5</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026"/>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8146" w:type="dxa"/>
            <w:gridSpan w:val="6"/>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编制部门：皮山县社会保险服务中心</w:t>
            </w:r>
          </w:p>
        </w:tc>
        <w:tc>
          <w:tcPr>
            <w:tcW w:w="170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5694"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4160" w:type="dxa"/>
            <w:gridSpan w:val="4"/>
            <w:shd w:val="clear" w:color="auto" w:fill="auto"/>
            <w:vAlign w:val="center"/>
          </w:tcPr>
          <w:p>
            <w:pPr>
              <w:jc w:val="center"/>
              <w:rPr>
                <w:sz w:val="18"/>
                <w:szCs w:val="18"/>
                <w:highlight w:val="none"/>
              </w:rPr>
            </w:pPr>
            <w:r>
              <w:rPr>
                <w:rFonts w:hint="eastAsia"/>
                <w:sz w:val="18"/>
                <w:szCs w:val="18"/>
                <w:highlight w:val="none"/>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4026"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36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66" w:type="dxa"/>
            <w:gridSpan w:val="2"/>
            <w:vMerge w:val="restart"/>
            <w:shd w:val="clear" w:color="auto" w:fill="auto"/>
            <w:vAlign w:val="center"/>
          </w:tcPr>
          <w:p>
            <w:pPr>
              <w:jc w:val="center"/>
              <w:rPr>
                <w:sz w:val="18"/>
                <w:szCs w:val="18"/>
                <w:highlight w:val="none"/>
              </w:rPr>
            </w:pPr>
            <w:r>
              <w:rPr>
                <w:rFonts w:hint="eastAsia"/>
                <w:sz w:val="18"/>
                <w:szCs w:val="18"/>
                <w:highlight w:val="none"/>
              </w:rPr>
              <w:t>基本支出</w:t>
            </w:r>
          </w:p>
        </w:tc>
        <w:tc>
          <w:tcPr>
            <w:tcW w:w="142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7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4026" w:type="dxa"/>
            <w:vMerge w:val="continue"/>
            <w:shd w:val="clear" w:color="auto" w:fill="auto"/>
            <w:vAlign w:val="center"/>
          </w:tcPr>
          <w:p>
            <w:pPr>
              <w:jc w:val="center"/>
              <w:rPr>
                <w:sz w:val="18"/>
                <w:szCs w:val="18"/>
                <w:highlight w:val="none"/>
              </w:rPr>
            </w:pPr>
          </w:p>
        </w:tc>
        <w:tc>
          <w:tcPr>
            <w:tcW w:w="1367" w:type="dxa"/>
            <w:vMerge w:val="continue"/>
            <w:shd w:val="clear" w:color="auto" w:fill="auto"/>
            <w:vAlign w:val="center"/>
          </w:tcPr>
          <w:p>
            <w:pPr>
              <w:jc w:val="center"/>
              <w:rPr>
                <w:sz w:val="18"/>
                <w:szCs w:val="18"/>
                <w:highlight w:val="none"/>
              </w:rPr>
            </w:pPr>
          </w:p>
        </w:tc>
        <w:tc>
          <w:tcPr>
            <w:tcW w:w="1366" w:type="dxa"/>
            <w:gridSpan w:val="2"/>
            <w:vMerge w:val="continue"/>
            <w:shd w:val="clear" w:color="auto" w:fill="auto"/>
            <w:vAlign w:val="center"/>
          </w:tcPr>
          <w:p>
            <w:pPr>
              <w:jc w:val="center"/>
              <w:rPr>
                <w:sz w:val="18"/>
                <w:szCs w:val="18"/>
                <w:highlight w:val="none"/>
              </w:rPr>
            </w:pPr>
          </w:p>
        </w:tc>
        <w:tc>
          <w:tcPr>
            <w:tcW w:w="142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2"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026"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67" w:type="dxa"/>
            <w:shd w:val="clear" w:color="auto" w:fill="auto"/>
            <w:vAlign w:val="center"/>
          </w:tcPr>
          <w:p>
            <w:pPr>
              <w:jc w:val="center"/>
              <w:rPr>
                <w:sz w:val="18"/>
                <w:szCs w:val="18"/>
                <w:highlight w:val="none"/>
              </w:rPr>
            </w:pPr>
            <w:r>
              <w:rPr>
                <w:rFonts w:hint="eastAsia"/>
                <w:sz w:val="18"/>
                <w:szCs w:val="18"/>
                <w:highlight w:val="none"/>
              </w:rPr>
              <w:t>1</w:t>
            </w:r>
          </w:p>
        </w:tc>
        <w:tc>
          <w:tcPr>
            <w:tcW w:w="136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27"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总计</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1,404.56</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350.46</w:t>
            </w:r>
          </w:p>
        </w:tc>
        <w:tc>
          <w:tcPr>
            <w:tcW w:w="142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1,054.11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社会保障和就业支出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1,357.72</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303.62</w:t>
            </w:r>
          </w:p>
        </w:tc>
        <w:tc>
          <w:tcPr>
            <w:tcW w:w="142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1,054.11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01</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人力资源和社会保障管理事务</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231.10</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227.60</w:t>
            </w:r>
          </w:p>
        </w:tc>
        <w:tc>
          <w:tcPr>
            <w:tcW w:w="142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行政运行</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227.60</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227.60</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09</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社会保险经办机构</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3.50</w:t>
            </w:r>
          </w:p>
        </w:tc>
        <w:tc>
          <w:tcPr>
            <w:tcW w:w="1366" w:type="dxa"/>
            <w:gridSpan w:val="2"/>
            <w:shd w:val="clear" w:color="auto" w:fill="auto"/>
            <w:vAlign w:val="center"/>
          </w:tcPr>
          <w:p>
            <w:pPr>
              <w:jc w:val="right"/>
              <w:rPr>
                <w:sz w:val="18"/>
                <w:szCs w:val="18"/>
                <w:highlight w:val="none"/>
              </w:rPr>
            </w:pPr>
          </w:p>
        </w:tc>
        <w:tc>
          <w:tcPr>
            <w:tcW w:w="1427" w:type="dxa"/>
            <w:shd w:val="clear" w:color="auto" w:fill="auto"/>
            <w:vAlign w:val="center"/>
          </w:tcPr>
          <w:p>
            <w:pPr>
              <w:jc w:val="right"/>
              <w:rPr>
                <w:sz w:val="18"/>
                <w:szCs w:val="18"/>
                <w:highlight w:val="none"/>
              </w:rPr>
            </w:pPr>
            <w:r>
              <w:rPr>
                <w:rFonts w:hint="eastAsia" w:ascii="宋体" w:hAnsi="宋体"/>
                <w:color w:val="000000"/>
                <w:sz w:val="18"/>
                <w:szCs w:val="18"/>
                <w:highlight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05</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行政事业单位养老支出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76.02</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76.02</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事业单位离退休</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20.88</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20.88</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机关事业单位基本养老保险缴费支出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30.13</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30.13</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06</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机关事业单位职业年金缴费支出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25.00</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25.00</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26</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财政对基本养老保险基金的补助</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1,050.61</w:t>
            </w:r>
          </w:p>
        </w:tc>
        <w:tc>
          <w:tcPr>
            <w:tcW w:w="1366" w:type="dxa"/>
            <w:gridSpan w:val="2"/>
            <w:shd w:val="clear" w:color="auto" w:fill="auto"/>
            <w:vAlign w:val="center"/>
          </w:tcPr>
          <w:p>
            <w:pPr>
              <w:jc w:val="right"/>
              <w:rPr>
                <w:b/>
                <w:sz w:val="18"/>
                <w:szCs w:val="18"/>
                <w:highlight w:val="none"/>
              </w:rPr>
            </w:pPr>
          </w:p>
        </w:tc>
        <w:tc>
          <w:tcPr>
            <w:tcW w:w="142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1,050.61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26</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财政对企业职工基本养老保险基金的补助</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52.50</w:t>
            </w:r>
          </w:p>
        </w:tc>
        <w:tc>
          <w:tcPr>
            <w:tcW w:w="1366" w:type="dxa"/>
            <w:gridSpan w:val="2"/>
            <w:shd w:val="clear" w:color="auto" w:fill="auto"/>
            <w:vAlign w:val="center"/>
          </w:tcPr>
          <w:p>
            <w:pPr>
              <w:jc w:val="right"/>
              <w:rPr>
                <w:sz w:val="18"/>
                <w:szCs w:val="18"/>
                <w:highlight w:val="none"/>
              </w:rPr>
            </w:pPr>
          </w:p>
        </w:tc>
        <w:tc>
          <w:tcPr>
            <w:tcW w:w="1427" w:type="dxa"/>
            <w:shd w:val="clear" w:color="auto" w:fill="auto"/>
            <w:vAlign w:val="center"/>
          </w:tcPr>
          <w:p>
            <w:pPr>
              <w:jc w:val="right"/>
              <w:rPr>
                <w:sz w:val="18"/>
                <w:szCs w:val="18"/>
                <w:highlight w:val="none"/>
              </w:rPr>
            </w:pPr>
            <w:r>
              <w:rPr>
                <w:rFonts w:hint="eastAsia" w:ascii="宋体" w:hAnsi="宋体"/>
                <w:color w:val="000000"/>
                <w:sz w:val="18"/>
                <w:szCs w:val="18"/>
                <w:highlight w:val="none"/>
              </w:rPr>
              <w:t>52.50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26</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财政对城乡居民基本养老保险基金的补助</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998.11</w:t>
            </w:r>
          </w:p>
        </w:tc>
        <w:tc>
          <w:tcPr>
            <w:tcW w:w="1366" w:type="dxa"/>
            <w:gridSpan w:val="2"/>
            <w:shd w:val="clear" w:color="auto" w:fill="auto"/>
            <w:vAlign w:val="center"/>
          </w:tcPr>
          <w:p>
            <w:pPr>
              <w:jc w:val="right"/>
              <w:rPr>
                <w:sz w:val="18"/>
                <w:szCs w:val="18"/>
                <w:highlight w:val="none"/>
              </w:rPr>
            </w:pPr>
          </w:p>
        </w:tc>
        <w:tc>
          <w:tcPr>
            <w:tcW w:w="1427" w:type="dxa"/>
            <w:shd w:val="clear" w:color="auto" w:fill="auto"/>
            <w:vAlign w:val="center"/>
          </w:tcPr>
          <w:p>
            <w:pPr>
              <w:jc w:val="right"/>
              <w:rPr>
                <w:sz w:val="18"/>
                <w:szCs w:val="18"/>
                <w:highlight w:val="none"/>
              </w:rPr>
            </w:pPr>
            <w:r>
              <w:rPr>
                <w:rFonts w:hint="eastAsia" w:ascii="宋体" w:hAnsi="宋体"/>
                <w:color w:val="000000"/>
                <w:sz w:val="18"/>
                <w:szCs w:val="18"/>
                <w:highlight w:val="none"/>
              </w:rPr>
              <w:t>998.11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卫生健康支出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24.24</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24.24</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11</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行政事业单位医疗</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24.24</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24.24</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事业单位医疗</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12.24</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12.24</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03</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公务员医疗补助</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12.00</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12.00</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住房保障支出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22.60</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22.60</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02</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住房改革支出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22.60</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22.60</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221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住房公积金</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22.60</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22.60</w:t>
            </w:r>
          </w:p>
        </w:tc>
        <w:tc>
          <w:tcPr>
            <w:tcW w:w="1427" w:type="dxa"/>
            <w:shd w:val="clear" w:color="auto" w:fill="auto"/>
            <w:vAlign w:val="center"/>
          </w:tcPr>
          <w:p>
            <w:pPr>
              <w:jc w:val="right"/>
              <w:rPr>
                <w:sz w:val="18"/>
                <w:szCs w:val="18"/>
                <w:highlight w:val="none"/>
              </w:rPr>
            </w:pPr>
          </w:p>
        </w:tc>
      </w:tr>
    </w:tbl>
    <w:p>
      <w:pPr>
        <w:widowControl/>
        <w:jc w:val="left"/>
        <w:rPr>
          <w:rFonts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表6</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一般公共预算基本支出情况表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4593"/>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146" w:type="dxa"/>
            <w:gridSpan w:val="5"/>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编制部门：皮山县社会保险服务中心</w:t>
            </w:r>
          </w:p>
        </w:tc>
        <w:tc>
          <w:tcPr>
            <w:tcW w:w="170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5694" w:type="dxa"/>
            <w:gridSpan w:val="3"/>
            <w:shd w:val="clear" w:color="auto" w:fill="auto"/>
            <w:vAlign w:val="center"/>
          </w:tcPr>
          <w:p>
            <w:pPr>
              <w:jc w:val="center"/>
              <w:rPr>
                <w:sz w:val="18"/>
                <w:szCs w:val="18"/>
                <w:highlight w:val="none"/>
              </w:rPr>
            </w:pPr>
            <w:r>
              <w:rPr>
                <w:rFonts w:hint="eastAsia"/>
                <w:sz w:val="18"/>
                <w:szCs w:val="18"/>
                <w:highlight w:val="none"/>
              </w:rPr>
              <w:t>科目</w:t>
            </w:r>
          </w:p>
        </w:tc>
        <w:tc>
          <w:tcPr>
            <w:tcW w:w="4160" w:type="dxa"/>
            <w:gridSpan w:val="4"/>
            <w:shd w:val="clear" w:color="auto" w:fill="auto"/>
            <w:vAlign w:val="center"/>
          </w:tcPr>
          <w:p>
            <w:pPr>
              <w:jc w:val="center"/>
              <w:rPr>
                <w:sz w:val="18"/>
                <w:szCs w:val="18"/>
                <w:highlight w:val="none"/>
              </w:rPr>
            </w:pPr>
            <w:r>
              <w:rPr>
                <w:rFonts w:hint="eastAsia"/>
                <w:sz w:val="18"/>
                <w:szCs w:val="18"/>
                <w:highlight w:val="none"/>
              </w:rPr>
              <w:t>一般公共预算基本支出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4" w:hRule="atLeast"/>
          <w:tblHeader/>
        </w:trPr>
        <w:tc>
          <w:tcPr>
            <w:tcW w:w="1101" w:type="dxa"/>
            <w:gridSpan w:val="2"/>
            <w:shd w:val="clear" w:color="auto" w:fill="auto"/>
            <w:vAlign w:val="center"/>
          </w:tcPr>
          <w:p>
            <w:pPr>
              <w:jc w:val="center"/>
              <w:rPr>
                <w:sz w:val="18"/>
                <w:szCs w:val="18"/>
                <w:highlight w:val="none"/>
              </w:rPr>
            </w:pPr>
            <w:r>
              <w:rPr>
                <w:rFonts w:hint="eastAsia"/>
                <w:sz w:val="18"/>
                <w:szCs w:val="18"/>
                <w:highlight w:val="none"/>
              </w:rPr>
              <w:t>经济分类科目编码</w:t>
            </w:r>
          </w:p>
        </w:tc>
        <w:tc>
          <w:tcPr>
            <w:tcW w:w="4593" w:type="dxa"/>
            <w:vMerge w:val="restart"/>
            <w:shd w:val="clear" w:color="auto" w:fill="auto"/>
            <w:vAlign w:val="center"/>
          </w:tcPr>
          <w:p>
            <w:pPr>
              <w:jc w:val="center"/>
              <w:rPr>
                <w:sz w:val="18"/>
                <w:szCs w:val="18"/>
                <w:highlight w:val="none"/>
              </w:rPr>
            </w:pPr>
            <w:r>
              <w:rPr>
                <w:rFonts w:hint="eastAsia"/>
                <w:sz w:val="18"/>
                <w:szCs w:val="18"/>
                <w:highlight w:val="none"/>
              </w:rPr>
              <w:t>经济分类科目名称</w:t>
            </w:r>
          </w:p>
        </w:tc>
        <w:tc>
          <w:tcPr>
            <w:tcW w:w="136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66" w:type="dxa"/>
            <w:gridSpan w:val="2"/>
            <w:vMerge w:val="restart"/>
            <w:shd w:val="clear" w:color="auto" w:fill="auto"/>
            <w:vAlign w:val="center"/>
          </w:tcPr>
          <w:p>
            <w:pPr>
              <w:jc w:val="center"/>
              <w:rPr>
                <w:sz w:val="18"/>
                <w:szCs w:val="18"/>
                <w:highlight w:val="none"/>
              </w:rPr>
            </w:pPr>
            <w:r>
              <w:rPr>
                <w:rFonts w:hint="eastAsia"/>
                <w:sz w:val="18"/>
                <w:szCs w:val="18"/>
                <w:highlight w:val="none"/>
              </w:rPr>
              <w:t>人员经费</w:t>
            </w:r>
          </w:p>
        </w:tc>
        <w:tc>
          <w:tcPr>
            <w:tcW w:w="1427" w:type="dxa"/>
            <w:vMerge w:val="restart"/>
            <w:shd w:val="clear" w:color="auto" w:fill="auto"/>
            <w:vAlign w:val="center"/>
          </w:tcPr>
          <w:p>
            <w:pPr>
              <w:jc w:val="center"/>
              <w:rPr>
                <w:sz w:val="18"/>
                <w:szCs w:val="18"/>
                <w:highlight w:val="none"/>
              </w:rPr>
            </w:pPr>
            <w:r>
              <w:rPr>
                <w:rFonts w:hint="eastAsia"/>
                <w:sz w:val="18"/>
                <w:szCs w:val="18"/>
                <w:highlight w:val="none"/>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4593" w:type="dxa"/>
            <w:vMerge w:val="continue"/>
            <w:shd w:val="clear" w:color="auto" w:fill="auto"/>
            <w:vAlign w:val="center"/>
          </w:tcPr>
          <w:p>
            <w:pPr>
              <w:jc w:val="center"/>
              <w:rPr>
                <w:sz w:val="18"/>
                <w:szCs w:val="18"/>
                <w:highlight w:val="none"/>
              </w:rPr>
            </w:pPr>
          </w:p>
        </w:tc>
        <w:tc>
          <w:tcPr>
            <w:tcW w:w="1367" w:type="dxa"/>
            <w:vMerge w:val="continue"/>
            <w:shd w:val="clear" w:color="auto" w:fill="auto"/>
            <w:vAlign w:val="center"/>
          </w:tcPr>
          <w:p>
            <w:pPr>
              <w:jc w:val="center"/>
              <w:rPr>
                <w:sz w:val="18"/>
                <w:szCs w:val="18"/>
                <w:highlight w:val="none"/>
              </w:rPr>
            </w:pPr>
          </w:p>
        </w:tc>
        <w:tc>
          <w:tcPr>
            <w:tcW w:w="1366" w:type="dxa"/>
            <w:gridSpan w:val="2"/>
            <w:vMerge w:val="continue"/>
            <w:shd w:val="clear" w:color="auto" w:fill="auto"/>
            <w:vAlign w:val="center"/>
          </w:tcPr>
          <w:p>
            <w:pPr>
              <w:jc w:val="center"/>
              <w:rPr>
                <w:sz w:val="18"/>
                <w:szCs w:val="18"/>
                <w:highlight w:val="none"/>
              </w:rPr>
            </w:pPr>
          </w:p>
        </w:tc>
        <w:tc>
          <w:tcPr>
            <w:tcW w:w="142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5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59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67" w:type="dxa"/>
            <w:shd w:val="clear" w:color="auto" w:fill="auto"/>
            <w:vAlign w:val="center"/>
          </w:tcPr>
          <w:p>
            <w:pPr>
              <w:jc w:val="center"/>
              <w:rPr>
                <w:sz w:val="18"/>
                <w:szCs w:val="18"/>
                <w:highlight w:val="none"/>
              </w:rPr>
            </w:pPr>
            <w:r>
              <w:rPr>
                <w:rFonts w:hint="eastAsia"/>
                <w:sz w:val="18"/>
                <w:szCs w:val="18"/>
                <w:highlight w:val="none"/>
              </w:rPr>
              <w:t>1</w:t>
            </w:r>
          </w:p>
        </w:tc>
        <w:tc>
          <w:tcPr>
            <w:tcW w:w="136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27"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b/>
                <w:sz w:val="18"/>
                <w:szCs w:val="18"/>
                <w:highlight w:val="none"/>
              </w:rPr>
            </w:pPr>
          </w:p>
        </w:tc>
        <w:tc>
          <w:tcPr>
            <w:tcW w:w="567" w:type="dxa"/>
            <w:shd w:val="clear" w:color="auto" w:fill="auto"/>
            <w:vAlign w:val="center"/>
          </w:tcPr>
          <w:p>
            <w:pPr>
              <w:jc w:val="center"/>
              <w:rPr>
                <w:rFonts w:hint="eastAsia" w:ascii="宋体" w:hAnsi="宋体"/>
                <w:b/>
                <w:sz w:val="18"/>
                <w:szCs w:val="18"/>
                <w:highlight w:val="none"/>
              </w:rPr>
            </w:pPr>
          </w:p>
        </w:tc>
        <w:tc>
          <w:tcPr>
            <w:tcW w:w="4593" w:type="dxa"/>
            <w:shd w:val="clear" w:color="auto" w:fill="auto"/>
            <w:vAlign w:val="center"/>
          </w:tcPr>
          <w:p>
            <w:pPr>
              <w:jc w:val="center"/>
              <w:rPr>
                <w:rFonts w:hint="eastAsia" w:ascii="宋体" w:hAnsi="宋体"/>
                <w:b/>
                <w:sz w:val="18"/>
                <w:szCs w:val="18"/>
                <w:highlight w:val="none"/>
              </w:rPr>
            </w:pPr>
            <w:r>
              <w:rPr>
                <w:rFonts w:ascii="宋体" w:hAnsi="宋体"/>
                <w:b/>
                <w:sz w:val="18"/>
                <w:szCs w:val="18"/>
                <w:highlight w:val="none"/>
              </w:rPr>
              <w:t>总计</w:t>
            </w:r>
          </w:p>
        </w:tc>
        <w:tc>
          <w:tcPr>
            <w:tcW w:w="1367" w:type="dxa"/>
            <w:shd w:val="clear" w:color="auto" w:fill="auto"/>
            <w:vAlign w:val="center"/>
          </w:tcPr>
          <w:p>
            <w:pPr>
              <w:jc w:val="right"/>
              <w:rPr>
                <w:rFonts w:hint="eastAsia" w:ascii="宋体" w:hAnsi="宋体"/>
                <w:b/>
                <w:sz w:val="18"/>
                <w:szCs w:val="18"/>
                <w:highlight w:val="none"/>
              </w:rPr>
            </w:pPr>
            <w:r>
              <w:rPr>
                <w:rFonts w:ascii="宋体" w:hAnsi="宋体"/>
                <w:b/>
                <w:sz w:val="18"/>
                <w:szCs w:val="18"/>
                <w:highlight w:val="none"/>
              </w:rPr>
              <w:t>350.46</w:t>
            </w:r>
          </w:p>
        </w:tc>
        <w:tc>
          <w:tcPr>
            <w:tcW w:w="1366" w:type="dxa"/>
            <w:gridSpan w:val="2"/>
            <w:shd w:val="clear" w:color="auto" w:fill="auto"/>
            <w:vAlign w:val="center"/>
          </w:tcPr>
          <w:p>
            <w:pPr>
              <w:jc w:val="right"/>
              <w:rPr>
                <w:rFonts w:hint="eastAsia" w:ascii="宋体" w:hAnsi="宋体"/>
                <w:b/>
                <w:sz w:val="18"/>
                <w:szCs w:val="18"/>
                <w:highlight w:val="none"/>
              </w:rPr>
            </w:pPr>
            <w:r>
              <w:rPr>
                <w:rFonts w:ascii="宋体" w:hAnsi="宋体"/>
                <w:b/>
                <w:sz w:val="18"/>
                <w:szCs w:val="18"/>
                <w:highlight w:val="none"/>
              </w:rPr>
              <w:t>344.46</w:t>
            </w:r>
          </w:p>
        </w:tc>
        <w:tc>
          <w:tcPr>
            <w:tcW w:w="1427" w:type="dxa"/>
            <w:shd w:val="clear" w:color="auto" w:fill="auto"/>
            <w:vAlign w:val="center"/>
          </w:tcPr>
          <w:p>
            <w:pPr>
              <w:jc w:val="right"/>
              <w:rPr>
                <w:rFonts w:hint="eastAsia" w:ascii="宋体" w:hAnsi="宋体"/>
                <w:b/>
                <w:sz w:val="18"/>
                <w:szCs w:val="18"/>
                <w:highlight w:val="none"/>
              </w:rPr>
            </w:pPr>
            <w:r>
              <w:rPr>
                <w:rFonts w:ascii="宋体" w:hAnsi="宋体"/>
                <w:b/>
                <w:sz w:val="18"/>
                <w:szCs w:val="18"/>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b/>
                <w:sz w:val="18"/>
                <w:szCs w:val="18"/>
                <w:highlight w:val="none"/>
              </w:rPr>
            </w:pPr>
            <w:r>
              <w:rPr>
                <w:rFonts w:ascii="宋体" w:hAnsi="宋体"/>
                <w:b/>
                <w:sz w:val="18"/>
                <w:szCs w:val="18"/>
                <w:highlight w:val="none"/>
              </w:rPr>
              <w:t>301</w:t>
            </w:r>
          </w:p>
        </w:tc>
        <w:tc>
          <w:tcPr>
            <w:tcW w:w="567" w:type="dxa"/>
            <w:shd w:val="clear" w:color="auto" w:fill="auto"/>
            <w:vAlign w:val="center"/>
          </w:tcPr>
          <w:p>
            <w:pPr>
              <w:jc w:val="center"/>
              <w:rPr>
                <w:rFonts w:hint="eastAsia" w:ascii="宋体" w:hAnsi="宋体"/>
                <w:b/>
                <w:sz w:val="18"/>
                <w:szCs w:val="18"/>
                <w:highlight w:val="none"/>
              </w:rPr>
            </w:pPr>
          </w:p>
        </w:tc>
        <w:tc>
          <w:tcPr>
            <w:tcW w:w="4593" w:type="dxa"/>
            <w:shd w:val="clear" w:color="auto" w:fill="auto"/>
            <w:vAlign w:val="center"/>
          </w:tcPr>
          <w:p>
            <w:pPr>
              <w:jc w:val="left"/>
              <w:rPr>
                <w:rFonts w:hint="eastAsia" w:ascii="宋体" w:hAnsi="宋体"/>
                <w:b/>
                <w:sz w:val="18"/>
                <w:szCs w:val="18"/>
                <w:highlight w:val="none"/>
              </w:rPr>
            </w:pPr>
            <w:r>
              <w:rPr>
                <w:rFonts w:ascii="宋体" w:hAnsi="宋体"/>
                <w:b/>
                <w:sz w:val="18"/>
                <w:szCs w:val="18"/>
                <w:highlight w:val="none"/>
              </w:rPr>
              <w:t>工资福利支出</w:t>
            </w:r>
          </w:p>
        </w:tc>
        <w:tc>
          <w:tcPr>
            <w:tcW w:w="1367" w:type="dxa"/>
            <w:shd w:val="clear" w:color="auto" w:fill="auto"/>
            <w:vAlign w:val="center"/>
          </w:tcPr>
          <w:p>
            <w:pPr>
              <w:jc w:val="right"/>
              <w:rPr>
                <w:rFonts w:hint="eastAsia" w:ascii="宋体" w:hAnsi="宋体"/>
                <w:b/>
                <w:sz w:val="18"/>
                <w:szCs w:val="18"/>
                <w:highlight w:val="none"/>
              </w:rPr>
            </w:pPr>
            <w:r>
              <w:rPr>
                <w:rFonts w:ascii="宋体" w:hAnsi="宋体"/>
                <w:b/>
                <w:sz w:val="18"/>
                <w:szCs w:val="18"/>
                <w:highlight w:val="none"/>
              </w:rPr>
              <w:t>323.57</w:t>
            </w:r>
          </w:p>
        </w:tc>
        <w:tc>
          <w:tcPr>
            <w:tcW w:w="1366" w:type="dxa"/>
            <w:gridSpan w:val="2"/>
            <w:shd w:val="clear" w:color="auto" w:fill="auto"/>
            <w:vAlign w:val="center"/>
          </w:tcPr>
          <w:p>
            <w:pPr>
              <w:jc w:val="right"/>
              <w:rPr>
                <w:rFonts w:hint="eastAsia" w:ascii="宋体" w:hAnsi="宋体"/>
                <w:b/>
                <w:sz w:val="18"/>
                <w:szCs w:val="18"/>
                <w:highlight w:val="none"/>
              </w:rPr>
            </w:pPr>
            <w:r>
              <w:rPr>
                <w:rFonts w:ascii="宋体" w:hAnsi="宋体"/>
                <w:b/>
                <w:sz w:val="18"/>
                <w:szCs w:val="18"/>
                <w:highlight w:val="none"/>
              </w:rPr>
              <w:t>323.57</w:t>
            </w:r>
          </w:p>
        </w:tc>
        <w:tc>
          <w:tcPr>
            <w:tcW w:w="1427" w:type="dxa"/>
            <w:shd w:val="clear" w:color="auto" w:fill="auto"/>
            <w:vAlign w:val="center"/>
          </w:tcPr>
          <w:p>
            <w:pPr>
              <w:jc w:val="right"/>
              <w:rPr>
                <w:rFonts w:hint="eastAsia"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301</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01</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基本工资</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61.25</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61.25</w:t>
            </w:r>
          </w:p>
        </w:tc>
        <w:tc>
          <w:tcPr>
            <w:tcW w:w="1427" w:type="dxa"/>
            <w:shd w:val="clear" w:color="auto" w:fill="auto"/>
            <w:vAlign w:val="center"/>
          </w:tcPr>
          <w:p>
            <w:pPr>
              <w:jc w:val="right"/>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301</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02</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津贴补贴</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111.53</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111.53</w:t>
            </w:r>
          </w:p>
        </w:tc>
        <w:tc>
          <w:tcPr>
            <w:tcW w:w="1427" w:type="dxa"/>
            <w:shd w:val="clear" w:color="auto" w:fill="auto"/>
            <w:vAlign w:val="center"/>
          </w:tcPr>
          <w:p>
            <w:pPr>
              <w:jc w:val="right"/>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301</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03</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奖金</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42.46</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42.46</w:t>
            </w:r>
          </w:p>
        </w:tc>
        <w:tc>
          <w:tcPr>
            <w:tcW w:w="1427" w:type="dxa"/>
            <w:shd w:val="clear" w:color="auto" w:fill="auto"/>
            <w:vAlign w:val="center"/>
          </w:tcPr>
          <w:p>
            <w:pPr>
              <w:jc w:val="right"/>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301</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08</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机关事业单位基本养老保险缴费</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30.13</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30.13</w:t>
            </w:r>
          </w:p>
        </w:tc>
        <w:tc>
          <w:tcPr>
            <w:tcW w:w="1427" w:type="dxa"/>
            <w:shd w:val="clear" w:color="auto" w:fill="auto"/>
            <w:vAlign w:val="center"/>
          </w:tcPr>
          <w:p>
            <w:pPr>
              <w:jc w:val="right"/>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301</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09</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职业年金缴费</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25.00</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25.00</w:t>
            </w:r>
          </w:p>
        </w:tc>
        <w:tc>
          <w:tcPr>
            <w:tcW w:w="1427" w:type="dxa"/>
            <w:shd w:val="clear" w:color="auto" w:fill="auto"/>
            <w:vAlign w:val="center"/>
          </w:tcPr>
          <w:p>
            <w:pPr>
              <w:jc w:val="right"/>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301</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10</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职工基本医疗保险缴费</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12.24</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12.24</w:t>
            </w:r>
          </w:p>
        </w:tc>
        <w:tc>
          <w:tcPr>
            <w:tcW w:w="1427" w:type="dxa"/>
            <w:shd w:val="clear" w:color="auto" w:fill="auto"/>
            <w:vAlign w:val="center"/>
          </w:tcPr>
          <w:p>
            <w:pPr>
              <w:jc w:val="right"/>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301</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11</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公务员医疗补助缴费</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12.00</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12.00</w:t>
            </w:r>
          </w:p>
        </w:tc>
        <w:tc>
          <w:tcPr>
            <w:tcW w:w="1427" w:type="dxa"/>
            <w:shd w:val="clear" w:color="auto" w:fill="auto"/>
            <w:vAlign w:val="center"/>
          </w:tcPr>
          <w:p>
            <w:pPr>
              <w:jc w:val="right"/>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301</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12</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其他社会保障缴费</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6.36</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6.36</w:t>
            </w:r>
          </w:p>
        </w:tc>
        <w:tc>
          <w:tcPr>
            <w:tcW w:w="1427" w:type="dxa"/>
            <w:shd w:val="clear" w:color="auto" w:fill="auto"/>
            <w:vAlign w:val="center"/>
          </w:tcPr>
          <w:p>
            <w:pPr>
              <w:jc w:val="right"/>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301</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13</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住房公积金</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22.60</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22.60</w:t>
            </w:r>
          </w:p>
        </w:tc>
        <w:tc>
          <w:tcPr>
            <w:tcW w:w="1427" w:type="dxa"/>
            <w:shd w:val="clear" w:color="auto" w:fill="auto"/>
            <w:vAlign w:val="center"/>
          </w:tcPr>
          <w:p>
            <w:pPr>
              <w:jc w:val="right"/>
              <w:rPr>
                <w:rFonts w:hint="eastAsia"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b/>
                <w:sz w:val="18"/>
                <w:szCs w:val="18"/>
                <w:highlight w:val="none"/>
              </w:rPr>
            </w:pPr>
            <w:r>
              <w:rPr>
                <w:rFonts w:ascii="宋体" w:hAnsi="宋体"/>
                <w:b/>
                <w:sz w:val="18"/>
                <w:szCs w:val="18"/>
                <w:highlight w:val="none"/>
              </w:rPr>
              <w:t>302</w:t>
            </w:r>
          </w:p>
        </w:tc>
        <w:tc>
          <w:tcPr>
            <w:tcW w:w="567" w:type="dxa"/>
            <w:shd w:val="clear" w:color="auto" w:fill="auto"/>
            <w:vAlign w:val="center"/>
          </w:tcPr>
          <w:p>
            <w:pPr>
              <w:jc w:val="center"/>
              <w:rPr>
                <w:rFonts w:hint="eastAsia" w:ascii="宋体" w:hAnsi="宋体"/>
                <w:b/>
                <w:sz w:val="18"/>
                <w:szCs w:val="18"/>
                <w:highlight w:val="none"/>
              </w:rPr>
            </w:pPr>
          </w:p>
        </w:tc>
        <w:tc>
          <w:tcPr>
            <w:tcW w:w="4593" w:type="dxa"/>
            <w:shd w:val="clear" w:color="auto" w:fill="auto"/>
            <w:vAlign w:val="center"/>
          </w:tcPr>
          <w:p>
            <w:pPr>
              <w:jc w:val="left"/>
              <w:rPr>
                <w:rFonts w:hint="eastAsia" w:ascii="宋体" w:hAnsi="宋体"/>
                <w:b/>
                <w:sz w:val="18"/>
                <w:szCs w:val="18"/>
                <w:highlight w:val="none"/>
              </w:rPr>
            </w:pPr>
            <w:r>
              <w:rPr>
                <w:rFonts w:ascii="宋体" w:hAnsi="宋体"/>
                <w:b/>
                <w:sz w:val="18"/>
                <w:szCs w:val="18"/>
                <w:highlight w:val="none"/>
              </w:rPr>
              <w:t>商品和服务支出</w:t>
            </w:r>
          </w:p>
        </w:tc>
        <w:tc>
          <w:tcPr>
            <w:tcW w:w="1367" w:type="dxa"/>
            <w:shd w:val="clear" w:color="auto" w:fill="auto"/>
            <w:vAlign w:val="center"/>
          </w:tcPr>
          <w:p>
            <w:pPr>
              <w:jc w:val="right"/>
              <w:rPr>
                <w:rFonts w:hint="eastAsia" w:ascii="宋体" w:hAnsi="宋体"/>
                <w:b/>
                <w:sz w:val="18"/>
                <w:szCs w:val="18"/>
                <w:highlight w:val="none"/>
              </w:rPr>
            </w:pPr>
            <w:r>
              <w:rPr>
                <w:rFonts w:ascii="宋体" w:hAnsi="宋体"/>
                <w:b/>
                <w:sz w:val="18"/>
                <w:szCs w:val="18"/>
                <w:highlight w:val="none"/>
              </w:rPr>
              <w:t>6.00</w:t>
            </w:r>
          </w:p>
        </w:tc>
        <w:tc>
          <w:tcPr>
            <w:tcW w:w="1366" w:type="dxa"/>
            <w:gridSpan w:val="2"/>
            <w:shd w:val="clear" w:color="auto" w:fill="auto"/>
            <w:vAlign w:val="center"/>
          </w:tcPr>
          <w:p>
            <w:pPr>
              <w:jc w:val="right"/>
              <w:rPr>
                <w:rFonts w:hint="eastAsia" w:ascii="宋体" w:hAnsi="宋体"/>
                <w:b/>
                <w:sz w:val="18"/>
                <w:szCs w:val="18"/>
                <w:highlight w:val="none"/>
              </w:rPr>
            </w:pPr>
          </w:p>
        </w:tc>
        <w:tc>
          <w:tcPr>
            <w:tcW w:w="1427" w:type="dxa"/>
            <w:shd w:val="clear" w:color="auto" w:fill="auto"/>
            <w:vAlign w:val="center"/>
          </w:tcPr>
          <w:p>
            <w:pPr>
              <w:jc w:val="right"/>
              <w:rPr>
                <w:rFonts w:hint="eastAsia" w:ascii="宋体" w:hAnsi="宋体"/>
                <w:b/>
                <w:sz w:val="18"/>
                <w:szCs w:val="18"/>
                <w:highlight w:val="none"/>
              </w:rPr>
            </w:pPr>
            <w:r>
              <w:rPr>
                <w:rFonts w:ascii="宋体" w:hAnsi="宋体"/>
                <w:b/>
                <w:sz w:val="18"/>
                <w:szCs w:val="18"/>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302</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01</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办公费</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6.00</w:t>
            </w:r>
          </w:p>
        </w:tc>
        <w:tc>
          <w:tcPr>
            <w:tcW w:w="1366" w:type="dxa"/>
            <w:gridSpan w:val="2"/>
            <w:shd w:val="clear" w:color="auto" w:fill="auto"/>
            <w:vAlign w:val="center"/>
          </w:tcPr>
          <w:p>
            <w:pPr>
              <w:jc w:val="right"/>
              <w:rPr>
                <w:rFonts w:hint="eastAsia" w:ascii="宋体" w:hAnsi="宋体"/>
                <w:sz w:val="18"/>
                <w:szCs w:val="18"/>
                <w:highlight w:val="none"/>
              </w:rPr>
            </w:pPr>
          </w:p>
        </w:tc>
        <w:tc>
          <w:tcPr>
            <w:tcW w:w="142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b/>
                <w:sz w:val="18"/>
                <w:szCs w:val="18"/>
                <w:highlight w:val="none"/>
              </w:rPr>
            </w:pPr>
            <w:r>
              <w:rPr>
                <w:rFonts w:ascii="宋体" w:hAnsi="宋体"/>
                <w:b/>
                <w:sz w:val="18"/>
                <w:szCs w:val="18"/>
                <w:highlight w:val="none"/>
              </w:rPr>
              <w:t>303</w:t>
            </w:r>
          </w:p>
        </w:tc>
        <w:tc>
          <w:tcPr>
            <w:tcW w:w="567" w:type="dxa"/>
            <w:shd w:val="clear" w:color="auto" w:fill="auto"/>
            <w:vAlign w:val="center"/>
          </w:tcPr>
          <w:p>
            <w:pPr>
              <w:jc w:val="center"/>
              <w:rPr>
                <w:rFonts w:hint="eastAsia" w:ascii="宋体" w:hAnsi="宋体"/>
                <w:b/>
                <w:sz w:val="18"/>
                <w:szCs w:val="18"/>
                <w:highlight w:val="none"/>
              </w:rPr>
            </w:pPr>
          </w:p>
        </w:tc>
        <w:tc>
          <w:tcPr>
            <w:tcW w:w="4593" w:type="dxa"/>
            <w:shd w:val="clear" w:color="auto" w:fill="auto"/>
            <w:vAlign w:val="center"/>
          </w:tcPr>
          <w:p>
            <w:pPr>
              <w:jc w:val="left"/>
              <w:rPr>
                <w:rFonts w:hint="eastAsia" w:ascii="宋体" w:hAnsi="宋体"/>
                <w:b/>
                <w:sz w:val="18"/>
                <w:szCs w:val="18"/>
                <w:highlight w:val="none"/>
              </w:rPr>
            </w:pPr>
            <w:r>
              <w:rPr>
                <w:rFonts w:ascii="宋体" w:hAnsi="宋体"/>
                <w:b/>
                <w:sz w:val="18"/>
                <w:szCs w:val="18"/>
                <w:highlight w:val="none"/>
              </w:rPr>
              <w:t>对个人和家庭的补助</w:t>
            </w:r>
          </w:p>
        </w:tc>
        <w:tc>
          <w:tcPr>
            <w:tcW w:w="1367" w:type="dxa"/>
            <w:shd w:val="clear" w:color="auto" w:fill="auto"/>
            <w:vAlign w:val="center"/>
          </w:tcPr>
          <w:p>
            <w:pPr>
              <w:jc w:val="right"/>
              <w:rPr>
                <w:rFonts w:hint="eastAsia" w:ascii="宋体" w:hAnsi="宋体"/>
                <w:b/>
                <w:sz w:val="18"/>
                <w:szCs w:val="18"/>
                <w:highlight w:val="none"/>
              </w:rPr>
            </w:pPr>
            <w:r>
              <w:rPr>
                <w:rFonts w:ascii="宋体" w:hAnsi="宋体"/>
                <w:b/>
                <w:sz w:val="18"/>
                <w:szCs w:val="18"/>
                <w:highlight w:val="none"/>
              </w:rPr>
              <w:t>20.88</w:t>
            </w:r>
          </w:p>
        </w:tc>
        <w:tc>
          <w:tcPr>
            <w:tcW w:w="1366" w:type="dxa"/>
            <w:gridSpan w:val="2"/>
            <w:shd w:val="clear" w:color="auto" w:fill="auto"/>
            <w:vAlign w:val="center"/>
          </w:tcPr>
          <w:p>
            <w:pPr>
              <w:jc w:val="right"/>
              <w:rPr>
                <w:rFonts w:hint="eastAsia" w:ascii="宋体" w:hAnsi="宋体"/>
                <w:b/>
                <w:sz w:val="18"/>
                <w:szCs w:val="18"/>
                <w:highlight w:val="none"/>
              </w:rPr>
            </w:pPr>
            <w:r>
              <w:rPr>
                <w:rFonts w:ascii="宋体" w:hAnsi="宋体"/>
                <w:b/>
                <w:sz w:val="18"/>
                <w:szCs w:val="18"/>
                <w:highlight w:val="none"/>
              </w:rPr>
              <w:t>20.88</w:t>
            </w:r>
          </w:p>
        </w:tc>
        <w:tc>
          <w:tcPr>
            <w:tcW w:w="1427" w:type="dxa"/>
            <w:shd w:val="clear" w:color="auto" w:fill="auto"/>
            <w:vAlign w:val="center"/>
          </w:tcPr>
          <w:p>
            <w:pPr>
              <w:jc w:val="right"/>
              <w:rPr>
                <w:rFonts w:hint="eastAsia"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303</w:t>
            </w:r>
          </w:p>
        </w:tc>
        <w:tc>
          <w:tcPr>
            <w:tcW w:w="567" w:type="dxa"/>
            <w:shd w:val="clear" w:color="auto" w:fill="auto"/>
            <w:vAlign w:val="center"/>
          </w:tcPr>
          <w:p>
            <w:pPr>
              <w:jc w:val="center"/>
              <w:rPr>
                <w:rFonts w:hint="eastAsia" w:ascii="宋体" w:hAnsi="宋体"/>
                <w:sz w:val="18"/>
                <w:szCs w:val="18"/>
                <w:highlight w:val="none"/>
              </w:rPr>
            </w:pPr>
            <w:r>
              <w:rPr>
                <w:rFonts w:ascii="宋体" w:hAnsi="宋体"/>
                <w:sz w:val="18"/>
                <w:szCs w:val="18"/>
                <w:highlight w:val="none"/>
              </w:rPr>
              <w:t>02</w:t>
            </w:r>
          </w:p>
        </w:tc>
        <w:tc>
          <w:tcPr>
            <w:tcW w:w="4593" w:type="dxa"/>
            <w:shd w:val="clear" w:color="auto" w:fill="auto"/>
            <w:vAlign w:val="center"/>
          </w:tcPr>
          <w:p>
            <w:pPr>
              <w:jc w:val="left"/>
              <w:rPr>
                <w:rFonts w:hint="eastAsia" w:ascii="宋体" w:hAnsi="宋体"/>
                <w:sz w:val="18"/>
                <w:szCs w:val="18"/>
                <w:highlight w:val="none"/>
              </w:rPr>
            </w:pPr>
            <w:r>
              <w:rPr>
                <w:rFonts w:ascii="宋体" w:hAnsi="宋体"/>
                <w:sz w:val="18"/>
                <w:szCs w:val="18"/>
                <w:highlight w:val="none"/>
              </w:rPr>
              <w:t xml:space="preserve">  退休费</w:t>
            </w:r>
          </w:p>
        </w:tc>
        <w:tc>
          <w:tcPr>
            <w:tcW w:w="1367" w:type="dxa"/>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20.88</w:t>
            </w:r>
          </w:p>
        </w:tc>
        <w:tc>
          <w:tcPr>
            <w:tcW w:w="1366" w:type="dxa"/>
            <w:gridSpan w:val="2"/>
            <w:shd w:val="clear" w:color="auto" w:fill="auto"/>
            <w:vAlign w:val="center"/>
          </w:tcPr>
          <w:p>
            <w:pPr>
              <w:jc w:val="right"/>
              <w:rPr>
                <w:rFonts w:hint="eastAsia" w:ascii="宋体" w:hAnsi="宋体"/>
                <w:sz w:val="18"/>
                <w:szCs w:val="18"/>
                <w:highlight w:val="none"/>
              </w:rPr>
            </w:pPr>
            <w:r>
              <w:rPr>
                <w:rFonts w:ascii="宋体" w:hAnsi="宋体"/>
                <w:sz w:val="18"/>
                <w:szCs w:val="18"/>
                <w:highlight w:val="none"/>
              </w:rPr>
              <w:t>20.88</w:t>
            </w:r>
          </w:p>
        </w:tc>
        <w:tc>
          <w:tcPr>
            <w:tcW w:w="1427" w:type="dxa"/>
            <w:shd w:val="clear" w:color="auto" w:fill="auto"/>
            <w:vAlign w:val="center"/>
          </w:tcPr>
          <w:p>
            <w:pPr>
              <w:jc w:val="right"/>
              <w:rPr>
                <w:rFonts w:hint="eastAsia" w:ascii="宋体" w:hAnsi="宋体"/>
                <w:sz w:val="18"/>
                <w:szCs w:val="18"/>
                <w:highlight w:val="none"/>
              </w:rPr>
            </w:pPr>
          </w:p>
        </w:tc>
      </w:tr>
    </w:tbl>
    <w:p>
      <w:pPr>
        <w:widowControl/>
        <w:jc w:val="left"/>
        <w:rPr>
          <w:rFonts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表7</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一般公共预算项目支出情况表</w:t>
      </w:r>
    </w:p>
    <w:tbl>
      <w:tblPr>
        <w:tblStyle w:val="8"/>
        <w:tblW w:w="14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292"/>
        <w:gridCol w:w="253"/>
        <w:gridCol w:w="292"/>
        <w:gridCol w:w="2415"/>
        <w:gridCol w:w="2416"/>
        <w:gridCol w:w="824"/>
        <w:gridCol w:w="824"/>
        <w:gridCol w:w="824"/>
        <w:gridCol w:w="824"/>
        <w:gridCol w:w="824"/>
        <w:gridCol w:w="824"/>
        <w:gridCol w:w="824"/>
        <w:gridCol w:w="824"/>
        <w:gridCol w:w="824"/>
        <w:gridCol w:w="824"/>
        <w:gridCol w:w="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3084" w:type="dxa"/>
            <w:gridSpan w:val="14"/>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编制部门：皮山县社会保险服务中心</w:t>
            </w:r>
          </w:p>
        </w:tc>
        <w:tc>
          <w:tcPr>
            <w:tcW w:w="164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711" w:hRule="atLeast"/>
          <w:tblHeader/>
        </w:trPr>
        <w:tc>
          <w:tcPr>
            <w:tcW w:w="837" w:type="dxa"/>
            <w:gridSpan w:val="3"/>
            <w:shd w:val="clear" w:color="auto" w:fill="auto"/>
            <w:vAlign w:val="center"/>
          </w:tcPr>
          <w:p>
            <w:pPr>
              <w:jc w:val="center"/>
              <w:rPr>
                <w:sz w:val="18"/>
                <w:szCs w:val="18"/>
                <w:highlight w:val="none"/>
              </w:rPr>
            </w:pPr>
            <w:r>
              <w:rPr>
                <w:rFonts w:hint="eastAsia"/>
                <w:sz w:val="18"/>
                <w:szCs w:val="18"/>
                <w:highlight w:val="none"/>
              </w:rPr>
              <w:t>科目编码</w:t>
            </w:r>
          </w:p>
        </w:tc>
        <w:tc>
          <w:tcPr>
            <w:tcW w:w="2415"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2416" w:type="dxa"/>
            <w:vMerge w:val="restart"/>
            <w:shd w:val="clear" w:color="auto" w:fill="auto"/>
            <w:vAlign w:val="center"/>
          </w:tcPr>
          <w:p>
            <w:pPr>
              <w:jc w:val="center"/>
              <w:rPr>
                <w:sz w:val="18"/>
                <w:szCs w:val="18"/>
                <w:highlight w:val="none"/>
              </w:rPr>
            </w:pPr>
            <w:r>
              <w:rPr>
                <w:rFonts w:hint="eastAsia"/>
                <w:sz w:val="18"/>
                <w:szCs w:val="18"/>
                <w:highlight w:val="none"/>
              </w:rPr>
              <w:t>项目名称</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项目支出合计</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工资福利支出</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商品和服务支出</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对个人和家庭的补助</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债务利息及费用支出</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资本性支出（基本建设）</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资本性支出</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对企业补助（基本建设）</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对企业补助</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对社会保障基金补助</w:t>
            </w:r>
          </w:p>
        </w:tc>
        <w:tc>
          <w:tcPr>
            <w:tcW w:w="824" w:type="dxa"/>
            <w:vMerge w:val="restart"/>
            <w:shd w:val="clear" w:color="auto" w:fill="auto"/>
            <w:vAlign w:val="center"/>
          </w:tcPr>
          <w:p>
            <w:pPr>
              <w:jc w:val="center"/>
              <w:rPr>
                <w:sz w:val="18"/>
                <w:szCs w:val="18"/>
                <w:highlight w:val="none"/>
              </w:rPr>
            </w:pPr>
            <w:r>
              <w:rPr>
                <w:rFonts w:hint="eastAsia"/>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22" w:hRule="atLeast"/>
          <w:tblHeader/>
        </w:trPr>
        <w:tc>
          <w:tcPr>
            <w:tcW w:w="292" w:type="dxa"/>
            <w:shd w:val="clear" w:color="auto" w:fill="auto"/>
            <w:vAlign w:val="center"/>
          </w:tcPr>
          <w:p>
            <w:pPr>
              <w:jc w:val="center"/>
              <w:rPr>
                <w:sz w:val="18"/>
                <w:szCs w:val="18"/>
                <w:highlight w:val="none"/>
              </w:rPr>
            </w:pPr>
            <w:r>
              <w:rPr>
                <w:rFonts w:hint="eastAsia"/>
                <w:sz w:val="18"/>
                <w:szCs w:val="18"/>
                <w:highlight w:val="none"/>
              </w:rPr>
              <w:t>类</w:t>
            </w:r>
          </w:p>
        </w:tc>
        <w:tc>
          <w:tcPr>
            <w:tcW w:w="253" w:type="dxa"/>
            <w:shd w:val="clear" w:color="auto" w:fill="auto"/>
            <w:vAlign w:val="center"/>
          </w:tcPr>
          <w:p>
            <w:pPr>
              <w:jc w:val="center"/>
              <w:rPr>
                <w:sz w:val="18"/>
                <w:szCs w:val="18"/>
                <w:highlight w:val="none"/>
              </w:rPr>
            </w:pPr>
            <w:r>
              <w:rPr>
                <w:rFonts w:hint="eastAsia"/>
                <w:sz w:val="18"/>
                <w:szCs w:val="18"/>
                <w:highlight w:val="none"/>
              </w:rPr>
              <w:t>款</w:t>
            </w:r>
          </w:p>
        </w:tc>
        <w:tc>
          <w:tcPr>
            <w:tcW w:w="292" w:type="dxa"/>
            <w:shd w:val="clear" w:color="auto" w:fill="auto"/>
            <w:vAlign w:val="center"/>
          </w:tcPr>
          <w:p>
            <w:pPr>
              <w:jc w:val="center"/>
              <w:rPr>
                <w:sz w:val="18"/>
                <w:szCs w:val="18"/>
                <w:highlight w:val="none"/>
              </w:rPr>
            </w:pPr>
            <w:r>
              <w:rPr>
                <w:rFonts w:hint="eastAsia"/>
                <w:sz w:val="18"/>
                <w:szCs w:val="18"/>
                <w:highlight w:val="none"/>
              </w:rPr>
              <w:t>项</w:t>
            </w:r>
          </w:p>
        </w:tc>
        <w:tc>
          <w:tcPr>
            <w:tcW w:w="2415" w:type="dxa"/>
            <w:vMerge w:val="continue"/>
            <w:shd w:val="clear" w:color="auto" w:fill="auto"/>
            <w:vAlign w:val="center"/>
          </w:tcPr>
          <w:p>
            <w:pPr>
              <w:jc w:val="center"/>
              <w:rPr>
                <w:sz w:val="18"/>
                <w:szCs w:val="18"/>
                <w:highlight w:val="none"/>
              </w:rPr>
            </w:pPr>
          </w:p>
        </w:tc>
        <w:tc>
          <w:tcPr>
            <w:tcW w:w="2416" w:type="dxa"/>
            <w:vMerge w:val="continue"/>
            <w:shd w:val="clear" w:color="auto" w:fill="auto"/>
            <w:vAlign w:val="center"/>
          </w:tcPr>
          <w:p>
            <w:pPr>
              <w:jc w:val="center"/>
              <w:rPr>
                <w:sz w:val="18"/>
                <w:szCs w:val="18"/>
                <w:highlight w:val="none"/>
              </w:rPr>
            </w:pPr>
          </w:p>
        </w:tc>
        <w:tc>
          <w:tcPr>
            <w:tcW w:w="824" w:type="dxa"/>
            <w:vMerge w:val="continue"/>
            <w:shd w:val="clear" w:color="auto" w:fill="auto"/>
            <w:vAlign w:val="center"/>
          </w:tcPr>
          <w:p>
            <w:pPr>
              <w:jc w:val="center"/>
              <w:rPr>
                <w:sz w:val="18"/>
                <w:szCs w:val="18"/>
                <w:highlight w:val="none"/>
              </w:rPr>
            </w:pPr>
          </w:p>
        </w:tc>
        <w:tc>
          <w:tcPr>
            <w:tcW w:w="824" w:type="dxa"/>
            <w:vMerge w:val="continue"/>
            <w:shd w:val="clear" w:color="auto" w:fill="auto"/>
            <w:vAlign w:val="center"/>
          </w:tcPr>
          <w:p>
            <w:pPr>
              <w:jc w:val="center"/>
              <w:rPr>
                <w:sz w:val="18"/>
                <w:szCs w:val="18"/>
                <w:highlight w:val="none"/>
              </w:rPr>
            </w:pPr>
          </w:p>
        </w:tc>
        <w:tc>
          <w:tcPr>
            <w:tcW w:w="824" w:type="dxa"/>
            <w:vMerge w:val="continue"/>
            <w:shd w:val="clear" w:color="auto" w:fill="auto"/>
            <w:vAlign w:val="center"/>
          </w:tcPr>
          <w:p>
            <w:pPr>
              <w:jc w:val="center"/>
              <w:rPr>
                <w:sz w:val="18"/>
                <w:szCs w:val="18"/>
                <w:highlight w:val="none"/>
              </w:rPr>
            </w:pPr>
          </w:p>
        </w:tc>
        <w:tc>
          <w:tcPr>
            <w:tcW w:w="824" w:type="dxa"/>
            <w:vMerge w:val="continue"/>
            <w:shd w:val="clear" w:color="auto" w:fill="auto"/>
            <w:vAlign w:val="center"/>
          </w:tcPr>
          <w:p>
            <w:pPr>
              <w:jc w:val="center"/>
              <w:rPr>
                <w:sz w:val="18"/>
                <w:szCs w:val="18"/>
                <w:highlight w:val="none"/>
              </w:rPr>
            </w:pPr>
          </w:p>
        </w:tc>
        <w:tc>
          <w:tcPr>
            <w:tcW w:w="824" w:type="dxa"/>
            <w:vMerge w:val="continue"/>
            <w:shd w:val="clear" w:color="auto" w:fill="auto"/>
            <w:vAlign w:val="center"/>
          </w:tcPr>
          <w:p>
            <w:pPr>
              <w:jc w:val="center"/>
              <w:rPr>
                <w:sz w:val="18"/>
                <w:szCs w:val="18"/>
                <w:highlight w:val="none"/>
              </w:rPr>
            </w:pPr>
          </w:p>
        </w:tc>
        <w:tc>
          <w:tcPr>
            <w:tcW w:w="824" w:type="dxa"/>
            <w:vMerge w:val="continue"/>
            <w:shd w:val="clear" w:color="auto" w:fill="auto"/>
            <w:vAlign w:val="center"/>
          </w:tcPr>
          <w:p>
            <w:pPr>
              <w:jc w:val="center"/>
              <w:rPr>
                <w:sz w:val="18"/>
                <w:szCs w:val="18"/>
                <w:highlight w:val="none"/>
              </w:rPr>
            </w:pPr>
          </w:p>
        </w:tc>
        <w:tc>
          <w:tcPr>
            <w:tcW w:w="824" w:type="dxa"/>
            <w:vMerge w:val="continue"/>
            <w:shd w:val="clear" w:color="auto" w:fill="auto"/>
            <w:vAlign w:val="center"/>
          </w:tcPr>
          <w:p>
            <w:pPr>
              <w:jc w:val="center"/>
              <w:rPr>
                <w:sz w:val="18"/>
                <w:szCs w:val="18"/>
                <w:highlight w:val="none"/>
              </w:rPr>
            </w:pPr>
          </w:p>
        </w:tc>
        <w:tc>
          <w:tcPr>
            <w:tcW w:w="824" w:type="dxa"/>
            <w:vMerge w:val="continue"/>
            <w:shd w:val="clear" w:color="auto" w:fill="auto"/>
          </w:tcPr>
          <w:p>
            <w:pPr>
              <w:jc w:val="center"/>
              <w:rPr>
                <w:sz w:val="18"/>
                <w:szCs w:val="18"/>
                <w:highlight w:val="none"/>
              </w:rPr>
            </w:pPr>
          </w:p>
        </w:tc>
        <w:tc>
          <w:tcPr>
            <w:tcW w:w="824" w:type="dxa"/>
            <w:vMerge w:val="continue"/>
            <w:shd w:val="clear" w:color="auto" w:fill="auto"/>
            <w:vAlign w:val="center"/>
          </w:tcPr>
          <w:p>
            <w:pPr>
              <w:jc w:val="center"/>
              <w:rPr>
                <w:sz w:val="18"/>
                <w:szCs w:val="18"/>
                <w:highlight w:val="none"/>
              </w:rPr>
            </w:pPr>
          </w:p>
        </w:tc>
        <w:tc>
          <w:tcPr>
            <w:tcW w:w="824" w:type="dxa"/>
            <w:vMerge w:val="continue"/>
            <w:shd w:val="clear" w:color="auto" w:fill="auto"/>
          </w:tcPr>
          <w:p>
            <w:pPr>
              <w:jc w:val="center"/>
              <w:rPr>
                <w:sz w:val="18"/>
                <w:szCs w:val="18"/>
                <w:highlight w:val="none"/>
              </w:rPr>
            </w:pPr>
          </w:p>
        </w:tc>
        <w:tc>
          <w:tcPr>
            <w:tcW w:w="824" w:type="dxa"/>
            <w:vMerge w:val="continue"/>
            <w:shd w:val="clear" w:color="auto" w:fill="auto"/>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trPr>
        <w:tc>
          <w:tcPr>
            <w:tcW w:w="292"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5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92"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415"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416"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824" w:type="dxa"/>
            <w:shd w:val="clear" w:color="auto" w:fill="auto"/>
            <w:vAlign w:val="center"/>
          </w:tcPr>
          <w:p>
            <w:pPr>
              <w:jc w:val="center"/>
              <w:rPr>
                <w:sz w:val="18"/>
                <w:szCs w:val="18"/>
                <w:highlight w:val="none"/>
              </w:rPr>
            </w:pPr>
            <w:r>
              <w:rPr>
                <w:rFonts w:hint="eastAsia"/>
                <w:sz w:val="18"/>
                <w:szCs w:val="18"/>
                <w:highlight w:val="none"/>
              </w:rPr>
              <w:t>1</w:t>
            </w:r>
          </w:p>
        </w:tc>
        <w:tc>
          <w:tcPr>
            <w:tcW w:w="824" w:type="dxa"/>
            <w:shd w:val="clear" w:color="auto" w:fill="auto"/>
            <w:vAlign w:val="center"/>
          </w:tcPr>
          <w:p>
            <w:pPr>
              <w:jc w:val="center"/>
              <w:rPr>
                <w:sz w:val="18"/>
                <w:szCs w:val="18"/>
                <w:highlight w:val="none"/>
              </w:rPr>
            </w:pPr>
            <w:r>
              <w:rPr>
                <w:rFonts w:hint="eastAsia"/>
                <w:sz w:val="18"/>
                <w:szCs w:val="18"/>
                <w:highlight w:val="none"/>
              </w:rPr>
              <w:t>2</w:t>
            </w:r>
          </w:p>
        </w:tc>
        <w:tc>
          <w:tcPr>
            <w:tcW w:w="824" w:type="dxa"/>
            <w:shd w:val="clear" w:color="auto" w:fill="auto"/>
            <w:vAlign w:val="center"/>
          </w:tcPr>
          <w:p>
            <w:pPr>
              <w:jc w:val="center"/>
              <w:rPr>
                <w:sz w:val="18"/>
                <w:szCs w:val="18"/>
                <w:highlight w:val="none"/>
              </w:rPr>
            </w:pPr>
            <w:r>
              <w:rPr>
                <w:rFonts w:hint="eastAsia"/>
                <w:sz w:val="18"/>
                <w:szCs w:val="18"/>
                <w:highlight w:val="none"/>
              </w:rPr>
              <w:t>3</w:t>
            </w:r>
          </w:p>
        </w:tc>
        <w:tc>
          <w:tcPr>
            <w:tcW w:w="824" w:type="dxa"/>
            <w:shd w:val="clear" w:color="auto" w:fill="auto"/>
            <w:vAlign w:val="center"/>
          </w:tcPr>
          <w:p>
            <w:pPr>
              <w:jc w:val="center"/>
              <w:rPr>
                <w:sz w:val="18"/>
                <w:szCs w:val="18"/>
                <w:highlight w:val="none"/>
              </w:rPr>
            </w:pPr>
            <w:r>
              <w:rPr>
                <w:rFonts w:hint="eastAsia"/>
                <w:sz w:val="18"/>
                <w:szCs w:val="18"/>
                <w:highlight w:val="none"/>
              </w:rPr>
              <w:t>4</w:t>
            </w:r>
          </w:p>
        </w:tc>
        <w:tc>
          <w:tcPr>
            <w:tcW w:w="824" w:type="dxa"/>
            <w:shd w:val="clear" w:color="auto" w:fill="auto"/>
            <w:vAlign w:val="center"/>
          </w:tcPr>
          <w:p>
            <w:pPr>
              <w:jc w:val="center"/>
              <w:rPr>
                <w:sz w:val="18"/>
                <w:szCs w:val="18"/>
                <w:highlight w:val="none"/>
              </w:rPr>
            </w:pPr>
            <w:r>
              <w:rPr>
                <w:rFonts w:hint="eastAsia"/>
                <w:sz w:val="18"/>
                <w:szCs w:val="18"/>
                <w:highlight w:val="none"/>
              </w:rPr>
              <w:t>5</w:t>
            </w:r>
          </w:p>
        </w:tc>
        <w:tc>
          <w:tcPr>
            <w:tcW w:w="824" w:type="dxa"/>
            <w:shd w:val="clear" w:color="auto" w:fill="auto"/>
            <w:vAlign w:val="center"/>
          </w:tcPr>
          <w:p>
            <w:pPr>
              <w:jc w:val="center"/>
              <w:rPr>
                <w:sz w:val="18"/>
                <w:szCs w:val="18"/>
                <w:highlight w:val="none"/>
              </w:rPr>
            </w:pPr>
            <w:r>
              <w:rPr>
                <w:rFonts w:hint="eastAsia"/>
                <w:sz w:val="18"/>
                <w:szCs w:val="18"/>
                <w:highlight w:val="none"/>
              </w:rPr>
              <w:t>6</w:t>
            </w:r>
          </w:p>
        </w:tc>
        <w:tc>
          <w:tcPr>
            <w:tcW w:w="824" w:type="dxa"/>
            <w:shd w:val="clear" w:color="auto" w:fill="auto"/>
            <w:vAlign w:val="center"/>
          </w:tcPr>
          <w:p>
            <w:pPr>
              <w:jc w:val="center"/>
              <w:rPr>
                <w:sz w:val="18"/>
                <w:szCs w:val="18"/>
                <w:highlight w:val="none"/>
              </w:rPr>
            </w:pPr>
            <w:r>
              <w:rPr>
                <w:rFonts w:hint="eastAsia"/>
                <w:sz w:val="18"/>
                <w:szCs w:val="18"/>
                <w:highlight w:val="none"/>
              </w:rPr>
              <w:t>7</w:t>
            </w:r>
          </w:p>
        </w:tc>
        <w:tc>
          <w:tcPr>
            <w:tcW w:w="824" w:type="dxa"/>
            <w:shd w:val="clear" w:color="auto" w:fill="auto"/>
            <w:vAlign w:val="center"/>
          </w:tcPr>
          <w:p>
            <w:pPr>
              <w:jc w:val="center"/>
              <w:rPr>
                <w:sz w:val="18"/>
                <w:szCs w:val="18"/>
                <w:highlight w:val="none"/>
              </w:rPr>
            </w:pPr>
            <w:r>
              <w:rPr>
                <w:rFonts w:hint="eastAsia"/>
                <w:sz w:val="18"/>
                <w:szCs w:val="18"/>
                <w:highlight w:val="none"/>
              </w:rPr>
              <w:t>8</w:t>
            </w:r>
          </w:p>
        </w:tc>
        <w:tc>
          <w:tcPr>
            <w:tcW w:w="824" w:type="dxa"/>
            <w:shd w:val="clear" w:color="auto" w:fill="auto"/>
            <w:vAlign w:val="center"/>
          </w:tcPr>
          <w:p>
            <w:pPr>
              <w:jc w:val="center"/>
              <w:rPr>
                <w:sz w:val="18"/>
                <w:szCs w:val="18"/>
                <w:highlight w:val="none"/>
              </w:rPr>
            </w:pPr>
            <w:r>
              <w:rPr>
                <w:rFonts w:hint="eastAsia"/>
                <w:sz w:val="18"/>
                <w:szCs w:val="18"/>
                <w:highlight w:val="none"/>
              </w:rPr>
              <w:t>9</w:t>
            </w:r>
          </w:p>
        </w:tc>
        <w:tc>
          <w:tcPr>
            <w:tcW w:w="824" w:type="dxa"/>
            <w:shd w:val="clear" w:color="auto" w:fill="auto"/>
            <w:vAlign w:val="center"/>
          </w:tcPr>
          <w:p>
            <w:pPr>
              <w:jc w:val="center"/>
              <w:rPr>
                <w:sz w:val="18"/>
                <w:szCs w:val="18"/>
                <w:highlight w:val="none"/>
              </w:rPr>
            </w:pPr>
            <w:r>
              <w:rPr>
                <w:rFonts w:hint="eastAsia"/>
                <w:sz w:val="18"/>
                <w:szCs w:val="18"/>
                <w:highlight w:val="none"/>
              </w:rPr>
              <w:t>10</w:t>
            </w:r>
          </w:p>
        </w:tc>
        <w:tc>
          <w:tcPr>
            <w:tcW w:w="824" w:type="dxa"/>
            <w:shd w:val="clear" w:color="auto" w:fill="auto"/>
            <w:vAlign w:val="center"/>
          </w:tcPr>
          <w:p>
            <w:pPr>
              <w:jc w:val="center"/>
              <w:rPr>
                <w:sz w:val="18"/>
                <w:szCs w:val="18"/>
                <w:highlight w:val="none"/>
              </w:rPr>
            </w:pPr>
            <w:r>
              <w:rPr>
                <w:rFonts w:hint="eastAsia"/>
                <w:sz w:val="18"/>
                <w:szCs w:val="18"/>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292" w:type="dxa"/>
            <w:shd w:val="clear" w:color="auto" w:fill="auto"/>
            <w:vAlign w:val="center"/>
          </w:tcPr>
          <w:p>
            <w:pPr>
              <w:jc w:val="center"/>
              <w:rPr>
                <w:b/>
                <w:sz w:val="18"/>
                <w:szCs w:val="18"/>
                <w:highlight w:val="none"/>
              </w:rPr>
            </w:pPr>
          </w:p>
        </w:tc>
        <w:tc>
          <w:tcPr>
            <w:tcW w:w="253" w:type="dxa"/>
            <w:shd w:val="clear" w:color="auto" w:fill="auto"/>
            <w:vAlign w:val="center"/>
          </w:tcPr>
          <w:p>
            <w:pPr>
              <w:jc w:val="center"/>
              <w:rPr>
                <w:b/>
                <w:sz w:val="18"/>
                <w:szCs w:val="18"/>
                <w:highlight w:val="none"/>
              </w:rPr>
            </w:pPr>
          </w:p>
        </w:tc>
        <w:tc>
          <w:tcPr>
            <w:tcW w:w="292" w:type="dxa"/>
            <w:shd w:val="clear" w:color="auto" w:fill="auto"/>
            <w:vAlign w:val="center"/>
          </w:tcPr>
          <w:p>
            <w:pPr>
              <w:jc w:val="center"/>
              <w:rPr>
                <w:b/>
                <w:sz w:val="18"/>
                <w:szCs w:val="18"/>
                <w:highlight w:val="none"/>
              </w:rPr>
            </w:pPr>
          </w:p>
        </w:tc>
        <w:tc>
          <w:tcPr>
            <w:tcW w:w="2415" w:type="dxa"/>
            <w:shd w:val="clear" w:color="auto" w:fill="auto"/>
            <w:vAlign w:val="center"/>
          </w:tcPr>
          <w:p>
            <w:pPr>
              <w:jc w:val="center"/>
              <w:rPr>
                <w:b/>
                <w:sz w:val="18"/>
                <w:szCs w:val="18"/>
                <w:highlight w:val="none"/>
              </w:rPr>
            </w:pPr>
            <w:r>
              <w:rPr>
                <w:rFonts w:ascii="宋体" w:hAnsi="宋体"/>
                <w:b/>
                <w:kern w:val="0"/>
                <w:sz w:val="13"/>
                <w:szCs w:val="13"/>
                <w:highlight w:val="none"/>
              </w:rPr>
              <w:t>总计</w:t>
            </w:r>
          </w:p>
        </w:tc>
        <w:tc>
          <w:tcPr>
            <w:tcW w:w="2416" w:type="dxa"/>
            <w:shd w:val="clear" w:color="auto" w:fill="auto"/>
            <w:vAlign w:val="center"/>
          </w:tcPr>
          <w:p>
            <w:pPr>
              <w:jc w:val="left"/>
              <w:rPr>
                <w:b/>
                <w:sz w:val="18"/>
                <w:szCs w:val="18"/>
                <w:highlight w:val="none"/>
              </w:rPr>
            </w:pPr>
          </w:p>
        </w:tc>
        <w:tc>
          <w:tcPr>
            <w:tcW w:w="824"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1,054.11</w:t>
            </w: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r>
              <w:rPr>
                <w:rFonts w:ascii="宋体" w:hAnsi="宋体"/>
                <w:b/>
                <w:kern w:val="0"/>
                <w:sz w:val="13"/>
                <w:szCs w:val="13"/>
                <w:highlight w:val="none"/>
              </w:rPr>
              <w:t>3.50</w:t>
            </w: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r>
              <w:rPr>
                <w:rFonts w:ascii="宋体" w:hAnsi="宋体"/>
                <w:b/>
                <w:kern w:val="0"/>
                <w:sz w:val="13"/>
                <w:szCs w:val="13"/>
                <w:highlight w:val="none"/>
              </w:rPr>
              <w:t>1,050.61</w:t>
            </w:r>
          </w:p>
        </w:tc>
        <w:tc>
          <w:tcPr>
            <w:tcW w:w="824"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292" w:type="dxa"/>
            <w:shd w:val="clear" w:color="auto" w:fill="auto"/>
            <w:vAlign w:val="center"/>
          </w:tcPr>
          <w:p>
            <w:pPr>
              <w:jc w:val="center"/>
              <w:rPr>
                <w:b/>
                <w:sz w:val="18"/>
                <w:szCs w:val="18"/>
                <w:highlight w:val="none"/>
              </w:rPr>
            </w:pPr>
          </w:p>
        </w:tc>
        <w:tc>
          <w:tcPr>
            <w:tcW w:w="253" w:type="dxa"/>
            <w:shd w:val="clear" w:color="auto" w:fill="auto"/>
            <w:vAlign w:val="center"/>
          </w:tcPr>
          <w:p>
            <w:pPr>
              <w:jc w:val="center"/>
              <w:rPr>
                <w:b/>
                <w:sz w:val="18"/>
                <w:szCs w:val="18"/>
                <w:highlight w:val="none"/>
              </w:rPr>
            </w:pPr>
          </w:p>
        </w:tc>
        <w:tc>
          <w:tcPr>
            <w:tcW w:w="292" w:type="dxa"/>
            <w:shd w:val="clear" w:color="auto" w:fill="auto"/>
            <w:vAlign w:val="center"/>
          </w:tcPr>
          <w:p>
            <w:pPr>
              <w:jc w:val="center"/>
              <w:rPr>
                <w:b/>
                <w:sz w:val="18"/>
                <w:szCs w:val="18"/>
                <w:highlight w:val="none"/>
              </w:rPr>
            </w:pPr>
          </w:p>
        </w:tc>
        <w:tc>
          <w:tcPr>
            <w:tcW w:w="2415" w:type="dxa"/>
            <w:shd w:val="clear" w:color="auto" w:fill="auto"/>
            <w:vAlign w:val="center"/>
          </w:tcPr>
          <w:p>
            <w:pPr>
              <w:jc w:val="left"/>
              <w:rPr>
                <w:b/>
                <w:sz w:val="18"/>
                <w:szCs w:val="18"/>
                <w:highlight w:val="none"/>
              </w:rPr>
            </w:pPr>
            <w:r>
              <w:rPr>
                <w:rFonts w:ascii="宋体" w:hAnsi="宋体"/>
                <w:b/>
                <w:kern w:val="0"/>
                <w:sz w:val="13"/>
                <w:szCs w:val="13"/>
                <w:highlight w:val="none"/>
              </w:rPr>
              <w:t>皮山县社会保险中心</w:t>
            </w:r>
          </w:p>
        </w:tc>
        <w:tc>
          <w:tcPr>
            <w:tcW w:w="2416" w:type="dxa"/>
            <w:shd w:val="clear" w:color="auto" w:fill="auto"/>
            <w:vAlign w:val="center"/>
          </w:tcPr>
          <w:p>
            <w:pPr>
              <w:jc w:val="left"/>
              <w:rPr>
                <w:b/>
                <w:sz w:val="18"/>
                <w:szCs w:val="18"/>
                <w:highlight w:val="none"/>
              </w:rPr>
            </w:pPr>
          </w:p>
        </w:tc>
        <w:tc>
          <w:tcPr>
            <w:tcW w:w="824"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1,054.11</w:t>
            </w: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r>
              <w:rPr>
                <w:rFonts w:ascii="宋体" w:hAnsi="宋体"/>
                <w:b/>
                <w:kern w:val="0"/>
                <w:sz w:val="13"/>
                <w:szCs w:val="13"/>
                <w:highlight w:val="none"/>
              </w:rPr>
              <w:t>3.50</w:t>
            </w: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r>
              <w:rPr>
                <w:rFonts w:ascii="宋体" w:hAnsi="宋体"/>
                <w:b/>
                <w:kern w:val="0"/>
                <w:sz w:val="13"/>
                <w:szCs w:val="13"/>
                <w:highlight w:val="none"/>
              </w:rPr>
              <w:t>1,050.61</w:t>
            </w:r>
          </w:p>
        </w:tc>
        <w:tc>
          <w:tcPr>
            <w:tcW w:w="824"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292" w:type="dxa"/>
            <w:shd w:val="clear" w:color="auto" w:fill="auto"/>
            <w:vAlign w:val="center"/>
          </w:tcPr>
          <w:p>
            <w:pPr>
              <w:jc w:val="center"/>
              <w:rPr>
                <w:b/>
                <w:sz w:val="18"/>
                <w:szCs w:val="18"/>
                <w:highlight w:val="none"/>
              </w:rPr>
            </w:pPr>
            <w:r>
              <w:rPr>
                <w:rFonts w:ascii="宋体" w:hAnsi="宋体"/>
                <w:b/>
                <w:kern w:val="0"/>
                <w:sz w:val="13"/>
                <w:szCs w:val="13"/>
                <w:highlight w:val="none"/>
              </w:rPr>
              <w:t>208</w:t>
            </w:r>
          </w:p>
        </w:tc>
        <w:tc>
          <w:tcPr>
            <w:tcW w:w="253" w:type="dxa"/>
            <w:shd w:val="clear" w:color="auto" w:fill="auto"/>
            <w:vAlign w:val="center"/>
          </w:tcPr>
          <w:p>
            <w:pPr>
              <w:jc w:val="center"/>
              <w:rPr>
                <w:b/>
                <w:sz w:val="18"/>
                <w:szCs w:val="18"/>
                <w:highlight w:val="none"/>
              </w:rPr>
            </w:pPr>
          </w:p>
        </w:tc>
        <w:tc>
          <w:tcPr>
            <w:tcW w:w="292" w:type="dxa"/>
            <w:shd w:val="clear" w:color="auto" w:fill="auto"/>
            <w:vAlign w:val="center"/>
          </w:tcPr>
          <w:p>
            <w:pPr>
              <w:jc w:val="center"/>
              <w:rPr>
                <w:b/>
                <w:sz w:val="18"/>
                <w:szCs w:val="18"/>
                <w:highlight w:val="none"/>
              </w:rPr>
            </w:pPr>
          </w:p>
        </w:tc>
        <w:tc>
          <w:tcPr>
            <w:tcW w:w="2415" w:type="dxa"/>
            <w:shd w:val="clear" w:color="auto" w:fill="auto"/>
            <w:vAlign w:val="center"/>
          </w:tcPr>
          <w:p>
            <w:pPr>
              <w:jc w:val="left"/>
              <w:rPr>
                <w:b/>
                <w:sz w:val="18"/>
                <w:szCs w:val="18"/>
                <w:highlight w:val="none"/>
              </w:rPr>
            </w:pPr>
            <w:r>
              <w:rPr>
                <w:rFonts w:ascii="宋体" w:hAnsi="宋体"/>
                <w:b/>
                <w:kern w:val="0"/>
                <w:sz w:val="13"/>
                <w:szCs w:val="13"/>
                <w:highlight w:val="none"/>
              </w:rPr>
              <w:t xml:space="preserve">  社会保障和就业支出</w:t>
            </w:r>
          </w:p>
        </w:tc>
        <w:tc>
          <w:tcPr>
            <w:tcW w:w="2416" w:type="dxa"/>
            <w:shd w:val="clear" w:color="auto" w:fill="auto"/>
            <w:vAlign w:val="center"/>
          </w:tcPr>
          <w:p>
            <w:pPr>
              <w:jc w:val="left"/>
              <w:rPr>
                <w:b/>
                <w:sz w:val="18"/>
                <w:szCs w:val="18"/>
                <w:highlight w:val="none"/>
              </w:rPr>
            </w:pPr>
          </w:p>
        </w:tc>
        <w:tc>
          <w:tcPr>
            <w:tcW w:w="824"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1,054.11</w:t>
            </w: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r>
              <w:rPr>
                <w:rFonts w:ascii="宋体" w:hAnsi="宋体"/>
                <w:b/>
                <w:kern w:val="0"/>
                <w:sz w:val="13"/>
                <w:szCs w:val="13"/>
                <w:highlight w:val="none"/>
              </w:rPr>
              <w:t>3.50</w:t>
            </w: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r>
              <w:rPr>
                <w:rFonts w:ascii="宋体" w:hAnsi="宋体"/>
                <w:b/>
                <w:kern w:val="0"/>
                <w:sz w:val="13"/>
                <w:szCs w:val="13"/>
                <w:highlight w:val="none"/>
              </w:rPr>
              <w:t>1,050.61</w:t>
            </w:r>
          </w:p>
        </w:tc>
        <w:tc>
          <w:tcPr>
            <w:tcW w:w="824"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292" w:type="dxa"/>
            <w:shd w:val="clear" w:color="auto" w:fill="auto"/>
            <w:vAlign w:val="center"/>
          </w:tcPr>
          <w:p>
            <w:pPr>
              <w:jc w:val="center"/>
              <w:rPr>
                <w:b/>
                <w:sz w:val="18"/>
                <w:szCs w:val="18"/>
                <w:highlight w:val="none"/>
              </w:rPr>
            </w:pPr>
            <w:r>
              <w:rPr>
                <w:rFonts w:ascii="宋体" w:hAnsi="宋体"/>
                <w:b/>
                <w:kern w:val="0"/>
                <w:sz w:val="13"/>
                <w:szCs w:val="13"/>
                <w:highlight w:val="none"/>
              </w:rPr>
              <w:t>208</w:t>
            </w:r>
          </w:p>
        </w:tc>
        <w:tc>
          <w:tcPr>
            <w:tcW w:w="253" w:type="dxa"/>
            <w:shd w:val="clear" w:color="auto" w:fill="auto"/>
            <w:vAlign w:val="center"/>
          </w:tcPr>
          <w:p>
            <w:pPr>
              <w:jc w:val="center"/>
              <w:rPr>
                <w:b/>
                <w:sz w:val="18"/>
                <w:szCs w:val="18"/>
                <w:highlight w:val="none"/>
              </w:rPr>
            </w:pPr>
            <w:r>
              <w:rPr>
                <w:rFonts w:ascii="宋体" w:hAnsi="宋体"/>
                <w:b/>
                <w:kern w:val="0"/>
                <w:sz w:val="13"/>
                <w:szCs w:val="13"/>
                <w:highlight w:val="none"/>
              </w:rPr>
              <w:t>01</w:t>
            </w:r>
          </w:p>
        </w:tc>
        <w:tc>
          <w:tcPr>
            <w:tcW w:w="292" w:type="dxa"/>
            <w:shd w:val="clear" w:color="auto" w:fill="auto"/>
            <w:vAlign w:val="center"/>
          </w:tcPr>
          <w:p>
            <w:pPr>
              <w:jc w:val="center"/>
              <w:rPr>
                <w:b/>
                <w:sz w:val="18"/>
                <w:szCs w:val="18"/>
                <w:highlight w:val="none"/>
              </w:rPr>
            </w:pPr>
          </w:p>
        </w:tc>
        <w:tc>
          <w:tcPr>
            <w:tcW w:w="2415" w:type="dxa"/>
            <w:shd w:val="clear" w:color="auto" w:fill="auto"/>
            <w:vAlign w:val="center"/>
          </w:tcPr>
          <w:p>
            <w:pPr>
              <w:jc w:val="left"/>
              <w:rPr>
                <w:b/>
                <w:sz w:val="18"/>
                <w:szCs w:val="18"/>
                <w:highlight w:val="none"/>
              </w:rPr>
            </w:pPr>
            <w:r>
              <w:rPr>
                <w:rFonts w:ascii="宋体" w:hAnsi="宋体"/>
                <w:b/>
                <w:kern w:val="0"/>
                <w:sz w:val="13"/>
                <w:szCs w:val="13"/>
                <w:highlight w:val="none"/>
              </w:rPr>
              <w:t xml:space="preserve">    人力资源和社会保障管理事务</w:t>
            </w:r>
          </w:p>
        </w:tc>
        <w:tc>
          <w:tcPr>
            <w:tcW w:w="2416" w:type="dxa"/>
            <w:shd w:val="clear" w:color="auto" w:fill="auto"/>
            <w:vAlign w:val="center"/>
          </w:tcPr>
          <w:p>
            <w:pPr>
              <w:jc w:val="left"/>
              <w:rPr>
                <w:b/>
                <w:sz w:val="18"/>
                <w:szCs w:val="18"/>
                <w:highlight w:val="none"/>
              </w:rPr>
            </w:pPr>
          </w:p>
        </w:tc>
        <w:tc>
          <w:tcPr>
            <w:tcW w:w="824"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3.50</w:t>
            </w: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r>
              <w:rPr>
                <w:rFonts w:ascii="宋体" w:hAnsi="宋体"/>
                <w:b/>
                <w:kern w:val="0"/>
                <w:sz w:val="13"/>
                <w:szCs w:val="13"/>
                <w:highlight w:val="none"/>
              </w:rPr>
              <w:t>3.50</w:t>
            </w: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292" w:type="dxa"/>
            <w:shd w:val="clear" w:color="auto" w:fill="auto"/>
            <w:vAlign w:val="center"/>
          </w:tcPr>
          <w:p>
            <w:pPr>
              <w:jc w:val="center"/>
              <w:rPr>
                <w:sz w:val="18"/>
                <w:szCs w:val="18"/>
                <w:highlight w:val="none"/>
              </w:rPr>
            </w:pPr>
            <w:r>
              <w:rPr>
                <w:rFonts w:ascii="宋体" w:hAnsi="宋体"/>
                <w:kern w:val="0"/>
                <w:sz w:val="13"/>
                <w:szCs w:val="13"/>
                <w:highlight w:val="none"/>
              </w:rPr>
              <w:t>208</w:t>
            </w:r>
          </w:p>
        </w:tc>
        <w:tc>
          <w:tcPr>
            <w:tcW w:w="253" w:type="dxa"/>
            <w:shd w:val="clear" w:color="auto" w:fill="auto"/>
            <w:vAlign w:val="center"/>
          </w:tcPr>
          <w:p>
            <w:pPr>
              <w:jc w:val="center"/>
              <w:rPr>
                <w:sz w:val="18"/>
                <w:szCs w:val="18"/>
                <w:highlight w:val="none"/>
              </w:rPr>
            </w:pPr>
            <w:r>
              <w:rPr>
                <w:rFonts w:ascii="宋体" w:hAnsi="宋体"/>
                <w:kern w:val="0"/>
                <w:sz w:val="13"/>
                <w:szCs w:val="13"/>
                <w:highlight w:val="none"/>
              </w:rPr>
              <w:t>01</w:t>
            </w:r>
          </w:p>
        </w:tc>
        <w:tc>
          <w:tcPr>
            <w:tcW w:w="292" w:type="dxa"/>
            <w:shd w:val="clear" w:color="auto" w:fill="auto"/>
            <w:vAlign w:val="center"/>
          </w:tcPr>
          <w:p>
            <w:pPr>
              <w:jc w:val="center"/>
              <w:rPr>
                <w:sz w:val="18"/>
                <w:szCs w:val="18"/>
                <w:highlight w:val="none"/>
              </w:rPr>
            </w:pPr>
            <w:r>
              <w:rPr>
                <w:rFonts w:ascii="宋体" w:hAnsi="宋体"/>
                <w:kern w:val="0"/>
                <w:sz w:val="13"/>
                <w:szCs w:val="13"/>
                <w:highlight w:val="none"/>
              </w:rPr>
              <w:t>09</w:t>
            </w:r>
          </w:p>
        </w:tc>
        <w:tc>
          <w:tcPr>
            <w:tcW w:w="2415" w:type="dxa"/>
            <w:shd w:val="clear" w:color="auto" w:fill="auto"/>
            <w:vAlign w:val="center"/>
          </w:tcPr>
          <w:p>
            <w:pPr>
              <w:jc w:val="left"/>
              <w:rPr>
                <w:sz w:val="18"/>
                <w:szCs w:val="18"/>
                <w:highlight w:val="none"/>
              </w:rPr>
            </w:pPr>
            <w:r>
              <w:rPr>
                <w:rFonts w:ascii="宋体" w:hAnsi="宋体"/>
                <w:kern w:val="0"/>
                <w:sz w:val="13"/>
                <w:szCs w:val="13"/>
                <w:highlight w:val="none"/>
              </w:rPr>
              <w:t xml:space="preserve">      社会保险经办机构</w:t>
            </w:r>
          </w:p>
        </w:tc>
        <w:tc>
          <w:tcPr>
            <w:tcW w:w="2416" w:type="dxa"/>
            <w:shd w:val="clear" w:color="auto" w:fill="auto"/>
            <w:vAlign w:val="center"/>
          </w:tcPr>
          <w:p>
            <w:pPr>
              <w:jc w:val="left"/>
              <w:rPr>
                <w:rFonts w:hint="eastAsia" w:eastAsia="宋体"/>
                <w:sz w:val="18"/>
                <w:szCs w:val="18"/>
                <w:highlight w:val="none"/>
                <w:lang w:eastAsia="zh-CN"/>
              </w:rPr>
            </w:pPr>
            <w:r>
              <w:rPr>
                <w:rFonts w:ascii="宋体" w:hAnsi="宋体"/>
                <w:kern w:val="0"/>
                <w:sz w:val="13"/>
                <w:szCs w:val="13"/>
                <w:highlight w:val="none"/>
              </w:rPr>
              <w:t>2025年自治区财政社保经办机构业务补助经费</w:t>
            </w:r>
            <w:r>
              <w:rPr>
                <w:rFonts w:hint="eastAsia" w:ascii="宋体" w:hAnsi="宋体"/>
                <w:kern w:val="0"/>
                <w:sz w:val="13"/>
                <w:szCs w:val="13"/>
                <w:highlight w:val="none"/>
                <w:lang w:eastAsia="zh-CN"/>
              </w:rPr>
              <w:t>（和地财</w:t>
            </w:r>
            <w:r>
              <w:rPr>
                <w:rFonts w:ascii="宋体" w:hAnsi="宋体"/>
                <w:kern w:val="0"/>
                <w:sz w:val="13"/>
                <w:szCs w:val="13"/>
                <w:highlight w:val="none"/>
              </w:rPr>
              <w:t>社〔2024〕99</w:t>
            </w:r>
            <w:r>
              <w:rPr>
                <w:rFonts w:hint="eastAsia" w:ascii="宋体" w:hAnsi="宋体"/>
                <w:kern w:val="0"/>
                <w:sz w:val="13"/>
                <w:szCs w:val="13"/>
                <w:highlight w:val="none"/>
                <w:lang w:eastAsia="zh-CN"/>
              </w:rPr>
              <w:t>号）</w:t>
            </w:r>
          </w:p>
        </w:tc>
        <w:tc>
          <w:tcPr>
            <w:tcW w:w="824"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3.50</w:t>
            </w: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r>
              <w:rPr>
                <w:rFonts w:ascii="宋体" w:hAnsi="宋体"/>
                <w:kern w:val="0"/>
                <w:sz w:val="13"/>
                <w:szCs w:val="13"/>
                <w:highlight w:val="none"/>
              </w:rPr>
              <w:t>3.50</w:t>
            </w: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292" w:type="dxa"/>
            <w:shd w:val="clear" w:color="auto" w:fill="auto"/>
            <w:vAlign w:val="center"/>
          </w:tcPr>
          <w:p>
            <w:pPr>
              <w:jc w:val="center"/>
              <w:rPr>
                <w:b/>
                <w:sz w:val="18"/>
                <w:szCs w:val="18"/>
                <w:highlight w:val="none"/>
              </w:rPr>
            </w:pPr>
            <w:r>
              <w:rPr>
                <w:rFonts w:ascii="宋体" w:hAnsi="宋体"/>
                <w:b/>
                <w:kern w:val="0"/>
                <w:sz w:val="13"/>
                <w:szCs w:val="13"/>
                <w:highlight w:val="none"/>
              </w:rPr>
              <w:t>208</w:t>
            </w:r>
          </w:p>
        </w:tc>
        <w:tc>
          <w:tcPr>
            <w:tcW w:w="253" w:type="dxa"/>
            <w:shd w:val="clear" w:color="auto" w:fill="auto"/>
            <w:vAlign w:val="center"/>
          </w:tcPr>
          <w:p>
            <w:pPr>
              <w:jc w:val="center"/>
              <w:rPr>
                <w:b/>
                <w:sz w:val="18"/>
                <w:szCs w:val="18"/>
                <w:highlight w:val="none"/>
              </w:rPr>
            </w:pPr>
            <w:r>
              <w:rPr>
                <w:rFonts w:ascii="宋体" w:hAnsi="宋体"/>
                <w:b/>
                <w:kern w:val="0"/>
                <w:sz w:val="13"/>
                <w:szCs w:val="13"/>
                <w:highlight w:val="none"/>
              </w:rPr>
              <w:t>26</w:t>
            </w:r>
          </w:p>
        </w:tc>
        <w:tc>
          <w:tcPr>
            <w:tcW w:w="292" w:type="dxa"/>
            <w:shd w:val="clear" w:color="auto" w:fill="auto"/>
            <w:vAlign w:val="center"/>
          </w:tcPr>
          <w:p>
            <w:pPr>
              <w:jc w:val="center"/>
              <w:rPr>
                <w:b/>
                <w:sz w:val="18"/>
                <w:szCs w:val="18"/>
                <w:highlight w:val="none"/>
              </w:rPr>
            </w:pPr>
          </w:p>
        </w:tc>
        <w:tc>
          <w:tcPr>
            <w:tcW w:w="2415" w:type="dxa"/>
            <w:shd w:val="clear" w:color="auto" w:fill="auto"/>
            <w:vAlign w:val="center"/>
          </w:tcPr>
          <w:p>
            <w:pPr>
              <w:jc w:val="left"/>
              <w:rPr>
                <w:b/>
                <w:sz w:val="18"/>
                <w:szCs w:val="18"/>
                <w:highlight w:val="none"/>
              </w:rPr>
            </w:pPr>
            <w:r>
              <w:rPr>
                <w:rFonts w:ascii="宋体" w:hAnsi="宋体"/>
                <w:b/>
                <w:kern w:val="0"/>
                <w:sz w:val="13"/>
                <w:szCs w:val="13"/>
                <w:highlight w:val="none"/>
              </w:rPr>
              <w:t xml:space="preserve">    财政对基本养老保险基金的补助</w:t>
            </w:r>
          </w:p>
        </w:tc>
        <w:tc>
          <w:tcPr>
            <w:tcW w:w="2416" w:type="dxa"/>
            <w:shd w:val="clear" w:color="auto" w:fill="auto"/>
            <w:vAlign w:val="center"/>
          </w:tcPr>
          <w:p>
            <w:pPr>
              <w:jc w:val="left"/>
              <w:rPr>
                <w:b/>
                <w:sz w:val="18"/>
                <w:szCs w:val="18"/>
                <w:highlight w:val="none"/>
              </w:rPr>
            </w:pPr>
          </w:p>
        </w:tc>
        <w:tc>
          <w:tcPr>
            <w:tcW w:w="824"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1,050.61</w:t>
            </w: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p>
        </w:tc>
        <w:tc>
          <w:tcPr>
            <w:tcW w:w="824" w:type="dxa"/>
            <w:shd w:val="clear" w:color="auto" w:fill="auto"/>
            <w:vAlign w:val="center"/>
          </w:tcPr>
          <w:p>
            <w:pPr>
              <w:jc w:val="right"/>
              <w:rPr>
                <w:b/>
                <w:sz w:val="18"/>
                <w:szCs w:val="18"/>
                <w:highlight w:val="none"/>
              </w:rPr>
            </w:pPr>
            <w:r>
              <w:rPr>
                <w:rFonts w:ascii="宋体" w:hAnsi="宋体"/>
                <w:b/>
                <w:kern w:val="0"/>
                <w:sz w:val="13"/>
                <w:szCs w:val="13"/>
                <w:highlight w:val="none"/>
              </w:rPr>
              <w:t>1,050.61</w:t>
            </w:r>
          </w:p>
        </w:tc>
        <w:tc>
          <w:tcPr>
            <w:tcW w:w="824"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292" w:type="dxa"/>
            <w:shd w:val="clear" w:color="auto" w:fill="auto"/>
            <w:vAlign w:val="center"/>
          </w:tcPr>
          <w:p>
            <w:pPr>
              <w:jc w:val="center"/>
              <w:rPr>
                <w:sz w:val="18"/>
                <w:szCs w:val="18"/>
                <w:highlight w:val="none"/>
              </w:rPr>
            </w:pPr>
            <w:r>
              <w:rPr>
                <w:rFonts w:ascii="宋体" w:hAnsi="宋体"/>
                <w:kern w:val="0"/>
                <w:sz w:val="13"/>
                <w:szCs w:val="13"/>
                <w:highlight w:val="none"/>
              </w:rPr>
              <w:t>208</w:t>
            </w:r>
          </w:p>
        </w:tc>
        <w:tc>
          <w:tcPr>
            <w:tcW w:w="253" w:type="dxa"/>
            <w:shd w:val="clear" w:color="auto" w:fill="auto"/>
            <w:vAlign w:val="center"/>
          </w:tcPr>
          <w:p>
            <w:pPr>
              <w:jc w:val="center"/>
              <w:rPr>
                <w:sz w:val="18"/>
                <w:szCs w:val="18"/>
                <w:highlight w:val="none"/>
              </w:rPr>
            </w:pPr>
            <w:r>
              <w:rPr>
                <w:rFonts w:ascii="宋体" w:hAnsi="宋体"/>
                <w:kern w:val="0"/>
                <w:sz w:val="13"/>
                <w:szCs w:val="13"/>
                <w:highlight w:val="none"/>
              </w:rPr>
              <w:t>26</w:t>
            </w:r>
          </w:p>
        </w:tc>
        <w:tc>
          <w:tcPr>
            <w:tcW w:w="292" w:type="dxa"/>
            <w:shd w:val="clear" w:color="auto" w:fill="auto"/>
            <w:vAlign w:val="center"/>
          </w:tcPr>
          <w:p>
            <w:pPr>
              <w:jc w:val="center"/>
              <w:rPr>
                <w:sz w:val="18"/>
                <w:szCs w:val="18"/>
                <w:highlight w:val="none"/>
              </w:rPr>
            </w:pPr>
            <w:r>
              <w:rPr>
                <w:rFonts w:ascii="宋体" w:hAnsi="宋体"/>
                <w:kern w:val="0"/>
                <w:sz w:val="13"/>
                <w:szCs w:val="13"/>
                <w:highlight w:val="none"/>
              </w:rPr>
              <w:t>01</w:t>
            </w:r>
          </w:p>
        </w:tc>
        <w:tc>
          <w:tcPr>
            <w:tcW w:w="2415" w:type="dxa"/>
            <w:shd w:val="clear" w:color="auto" w:fill="auto"/>
            <w:vAlign w:val="center"/>
          </w:tcPr>
          <w:p>
            <w:pPr>
              <w:jc w:val="left"/>
              <w:rPr>
                <w:sz w:val="18"/>
                <w:szCs w:val="18"/>
                <w:highlight w:val="none"/>
              </w:rPr>
            </w:pPr>
            <w:r>
              <w:rPr>
                <w:rFonts w:ascii="宋体" w:hAnsi="宋体"/>
                <w:kern w:val="0"/>
                <w:sz w:val="13"/>
                <w:szCs w:val="13"/>
                <w:highlight w:val="none"/>
              </w:rPr>
              <w:t xml:space="preserve">      财政对企业职工基本养老保险基金的补助</w:t>
            </w:r>
          </w:p>
        </w:tc>
        <w:tc>
          <w:tcPr>
            <w:tcW w:w="2416" w:type="dxa"/>
            <w:shd w:val="clear" w:color="auto" w:fill="auto"/>
            <w:vAlign w:val="center"/>
          </w:tcPr>
          <w:p>
            <w:pPr>
              <w:jc w:val="left"/>
              <w:rPr>
                <w:sz w:val="18"/>
                <w:szCs w:val="18"/>
                <w:highlight w:val="none"/>
              </w:rPr>
            </w:pPr>
            <w:r>
              <w:rPr>
                <w:rFonts w:ascii="宋体" w:hAnsi="宋体"/>
                <w:kern w:val="0"/>
                <w:sz w:val="13"/>
                <w:szCs w:val="13"/>
                <w:highlight w:val="none"/>
              </w:rPr>
              <w:t>2025年保基本民生县配套资金—企业职工养老保险县级配套资金</w:t>
            </w:r>
          </w:p>
        </w:tc>
        <w:tc>
          <w:tcPr>
            <w:tcW w:w="824" w:type="dxa"/>
            <w:shd w:val="clear" w:color="auto" w:fill="auto"/>
            <w:vAlign w:val="center"/>
          </w:tcPr>
          <w:p>
            <w:pPr>
              <w:ind w:right="-29" w:rightChars="-14"/>
              <w:jc w:val="right"/>
              <w:rPr>
                <w:sz w:val="15"/>
                <w:szCs w:val="15"/>
                <w:highlight w:val="none"/>
              </w:rPr>
            </w:pPr>
            <w:r>
              <w:rPr>
                <w:rFonts w:ascii="宋体" w:hAnsi="宋体"/>
                <w:kern w:val="0"/>
                <w:sz w:val="15"/>
                <w:szCs w:val="15"/>
                <w:highlight w:val="none"/>
              </w:rPr>
              <w:t>52.50</w:t>
            </w: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r>
              <w:rPr>
                <w:rFonts w:ascii="宋体" w:hAnsi="宋体"/>
                <w:kern w:val="0"/>
                <w:sz w:val="13"/>
                <w:szCs w:val="13"/>
                <w:highlight w:val="none"/>
              </w:rPr>
              <w:t>52.50</w:t>
            </w:r>
          </w:p>
        </w:tc>
        <w:tc>
          <w:tcPr>
            <w:tcW w:w="824"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292" w:type="dxa"/>
            <w:shd w:val="clear" w:color="auto" w:fill="auto"/>
            <w:vAlign w:val="center"/>
          </w:tcPr>
          <w:p>
            <w:pPr>
              <w:jc w:val="center"/>
              <w:rPr>
                <w:sz w:val="18"/>
                <w:szCs w:val="18"/>
                <w:highlight w:val="none"/>
              </w:rPr>
            </w:pPr>
            <w:r>
              <w:rPr>
                <w:rFonts w:ascii="宋体" w:hAnsi="宋体"/>
                <w:kern w:val="0"/>
                <w:sz w:val="13"/>
                <w:szCs w:val="13"/>
                <w:highlight w:val="none"/>
              </w:rPr>
              <w:t>208</w:t>
            </w:r>
          </w:p>
        </w:tc>
        <w:tc>
          <w:tcPr>
            <w:tcW w:w="253" w:type="dxa"/>
            <w:shd w:val="clear" w:color="auto" w:fill="auto"/>
            <w:vAlign w:val="center"/>
          </w:tcPr>
          <w:p>
            <w:pPr>
              <w:jc w:val="center"/>
              <w:rPr>
                <w:sz w:val="18"/>
                <w:szCs w:val="18"/>
                <w:highlight w:val="none"/>
              </w:rPr>
            </w:pPr>
            <w:r>
              <w:rPr>
                <w:rFonts w:ascii="宋体" w:hAnsi="宋体"/>
                <w:kern w:val="0"/>
                <w:sz w:val="13"/>
                <w:szCs w:val="13"/>
                <w:highlight w:val="none"/>
              </w:rPr>
              <w:t>26</w:t>
            </w:r>
          </w:p>
        </w:tc>
        <w:tc>
          <w:tcPr>
            <w:tcW w:w="292" w:type="dxa"/>
            <w:shd w:val="clear" w:color="auto" w:fill="auto"/>
            <w:vAlign w:val="center"/>
          </w:tcPr>
          <w:p>
            <w:pPr>
              <w:jc w:val="center"/>
              <w:rPr>
                <w:sz w:val="18"/>
                <w:szCs w:val="18"/>
                <w:highlight w:val="none"/>
              </w:rPr>
            </w:pPr>
            <w:r>
              <w:rPr>
                <w:rFonts w:ascii="宋体" w:hAnsi="宋体"/>
                <w:kern w:val="0"/>
                <w:sz w:val="13"/>
                <w:szCs w:val="13"/>
                <w:highlight w:val="none"/>
              </w:rPr>
              <w:t>02</w:t>
            </w:r>
          </w:p>
        </w:tc>
        <w:tc>
          <w:tcPr>
            <w:tcW w:w="2415" w:type="dxa"/>
            <w:shd w:val="clear" w:color="auto" w:fill="auto"/>
            <w:vAlign w:val="center"/>
          </w:tcPr>
          <w:p>
            <w:pPr>
              <w:jc w:val="left"/>
              <w:rPr>
                <w:sz w:val="18"/>
                <w:szCs w:val="18"/>
                <w:highlight w:val="none"/>
              </w:rPr>
            </w:pPr>
            <w:r>
              <w:rPr>
                <w:rFonts w:ascii="宋体" w:hAnsi="宋体"/>
                <w:kern w:val="0"/>
                <w:sz w:val="13"/>
                <w:szCs w:val="13"/>
                <w:highlight w:val="none"/>
              </w:rPr>
              <w:t xml:space="preserve">      财政对城乡居民基本养老保险基金的补助</w:t>
            </w:r>
          </w:p>
        </w:tc>
        <w:tc>
          <w:tcPr>
            <w:tcW w:w="2416" w:type="dxa"/>
            <w:shd w:val="clear" w:color="auto" w:fill="auto"/>
            <w:vAlign w:val="center"/>
          </w:tcPr>
          <w:p>
            <w:pPr>
              <w:jc w:val="left"/>
              <w:rPr>
                <w:sz w:val="18"/>
                <w:szCs w:val="18"/>
                <w:highlight w:val="none"/>
              </w:rPr>
            </w:pPr>
            <w:r>
              <w:rPr>
                <w:rFonts w:ascii="宋体" w:hAnsi="宋体"/>
                <w:kern w:val="0"/>
                <w:sz w:val="13"/>
                <w:szCs w:val="13"/>
                <w:highlight w:val="none"/>
              </w:rPr>
              <w:t>2025年保基本民生县配套资金—城乡居民基本养老保险县级配套资金</w:t>
            </w:r>
          </w:p>
        </w:tc>
        <w:tc>
          <w:tcPr>
            <w:tcW w:w="824" w:type="dxa"/>
            <w:shd w:val="clear" w:color="auto" w:fill="auto"/>
            <w:vAlign w:val="center"/>
          </w:tcPr>
          <w:p>
            <w:pPr>
              <w:ind w:right="-29" w:rightChars="-14"/>
              <w:jc w:val="right"/>
              <w:rPr>
                <w:rFonts w:hint="eastAsia" w:eastAsia="宋体"/>
                <w:sz w:val="15"/>
                <w:szCs w:val="15"/>
                <w:highlight w:val="none"/>
                <w:lang w:val="en-US" w:eastAsia="zh-CN"/>
              </w:rPr>
            </w:pPr>
            <w:r>
              <w:rPr>
                <w:rFonts w:hint="eastAsia" w:ascii="宋体" w:hAnsi="宋体"/>
                <w:kern w:val="0"/>
                <w:sz w:val="13"/>
                <w:szCs w:val="13"/>
                <w:highlight w:val="none"/>
                <w:lang w:val="en-US" w:eastAsia="zh-CN"/>
              </w:rPr>
              <w:t>998.11</w:t>
            </w: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sz w:val="18"/>
                <w:szCs w:val="18"/>
                <w:highlight w:val="none"/>
              </w:rPr>
            </w:pPr>
          </w:p>
        </w:tc>
        <w:tc>
          <w:tcPr>
            <w:tcW w:w="824" w:type="dxa"/>
            <w:shd w:val="clear" w:color="auto" w:fill="auto"/>
            <w:vAlign w:val="center"/>
          </w:tcPr>
          <w:p>
            <w:pPr>
              <w:jc w:val="right"/>
              <w:rPr>
                <w:rFonts w:hint="eastAsia" w:eastAsia="宋体"/>
                <w:sz w:val="18"/>
                <w:szCs w:val="18"/>
                <w:highlight w:val="none"/>
                <w:lang w:val="en-US" w:eastAsia="zh-CN"/>
              </w:rPr>
            </w:pPr>
            <w:r>
              <w:rPr>
                <w:rFonts w:hint="eastAsia" w:ascii="宋体" w:hAnsi="宋体"/>
                <w:kern w:val="0"/>
                <w:sz w:val="13"/>
                <w:szCs w:val="13"/>
                <w:highlight w:val="none"/>
                <w:lang w:val="en-US" w:eastAsia="zh-CN"/>
              </w:rPr>
              <w:t>998.11</w:t>
            </w:r>
          </w:p>
        </w:tc>
        <w:tc>
          <w:tcPr>
            <w:tcW w:w="824" w:type="dxa"/>
            <w:shd w:val="clear" w:color="auto" w:fill="auto"/>
            <w:vAlign w:val="center"/>
          </w:tcPr>
          <w:p>
            <w:pPr>
              <w:jc w:val="right"/>
              <w:rPr>
                <w:sz w:val="18"/>
                <w:szCs w:val="18"/>
                <w:highlight w:val="none"/>
              </w:rPr>
            </w:pPr>
          </w:p>
        </w:tc>
      </w:tr>
    </w:tbl>
    <w:p>
      <w:pPr>
        <w:widowControl/>
        <w:jc w:val="left"/>
        <w:rPr>
          <w:rFonts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表8</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政府性基金预算支出情况表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编制部门：皮山县社会保险服务中心</w:t>
            </w:r>
          </w:p>
        </w:tc>
        <w:tc>
          <w:tcPr>
            <w:tcW w:w="191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5670" w:type="dxa"/>
            <w:gridSpan w:val="5"/>
            <w:shd w:val="clear" w:color="auto" w:fill="auto"/>
            <w:vAlign w:val="center"/>
          </w:tcPr>
          <w:p>
            <w:pPr>
              <w:jc w:val="center"/>
              <w:rPr>
                <w:sz w:val="18"/>
                <w:szCs w:val="18"/>
                <w:highlight w:val="none"/>
              </w:rPr>
            </w:pPr>
            <w:r>
              <w:rPr>
                <w:rFonts w:hint="eastAsia"/>
                <w:sz w:val="18"/>
                <w:szCs w:val="18"/>
                <w:highlight w:val="none"/>
              </w:rPr>
              <w:t>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2551"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418"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2835" w:type="dxa"/>
            <w:gridSpan w:val="3"/>
            <w:shd w:val="clear" w:color="auto" w:fill="auto"/>
            <w:vAlign w:val="center"/>
          </w:tcPr>
          <w:p>
            <w:pPr>
              <w:jc w:val="center"/>
              <w:rPr>
                <w:sz w:val="18"/>
                <w:szCs w:val="18"/>
                <w:highlight w:val="none"/>
              </w:rPr>
            </w:pPr>
            <w:r>
              <w:rPr>
                <w:rFonts w:hint="eastAsia"/>
                <w:sz w:val="18"/>
                <w:szCs w:val="18"/>
                <w:highlight w:val="none"/>
              </w:rPr>
              <w:t>基本支出</w:t>
            </w:r>
          </w:p>
        </w:tc>
        <w:tc>
          <w:tcPr>
            <w:tcW w:w="141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2551" w:type="dxa"/>
            <w:vMerge w:val="continue"/>
            <w:shd w:val="clear" w:color="auto" w:fill="auto"/>
            <w:vAlign w:val="center"/>
          </w:tcPr>
          <w:p>
            <w:pPr>
              <w:jc w:val="center"/>
              <w:rPr>
                <w:sz w:val="18"/>
                <w:szCs w:val="18"/>
                <w:highlight w:val="none"/>
              </w:rPr>
            </w:pPr>
          </w:p>
        </w:tc>
        <w:tc>
          <w:tcPr>
            <w:tcW w:w="1418" w:type="dxa"/>
            <w:vMerge w:val="continue"/>
            <w:shd w:val="clear" w:color="auto" w:fill="auto"/>
            <w:vAlign w:val="center"/>
          </w:tcPr>
          <w:p>
            <w:pPr>
              <w:jc w:val="center"/>
              <w:rPr>
                <w:sz w:val="18"/>
                <w:szCs w:val="18"/>
                <w:highlight w:val="none"/>
              </w:rPr>
            </w:pPr>
          </w:p>
        </w:tc>
        <w:tc>
          <w:tcPr>
            <w:tcW w:w="1417" w:type="dxa"/>
            <w:shd w:val="clear" w:color="auto" w:fill="auto"/>
            <w:vAlign w:val="center"/>
          </w:tcPr>
          <w:p>
            <w:pPr>
              <w:jc w:val="center"/>
              <w:rPr>
                <w:sz w:val="18"/>
                <w:szCs w:val="18"/>
                <w:highlight w:val="none"/>
              </w:rPr>
            </w:pPr>
            <w:r>
              <w:rPr>
                <w:rFonts w:hint="eastAsia"/>
                <w:sz w:val="18"/>
                <w:szCs w:val="18"/>
                <w:highlight w:val="none"/>
              </w:rPr>
              <w:t>人员经费</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公用经费</w:t>
            </w:r>
          </w:p>
        </w:tc>
        <w:tc>
          <w:tcPr>
            <w:tcW w:w="141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55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418" w:type="dxa"/>
            <w:shd w:val="clear" w:color="auto" w:fill="auto"/>
            <w:vAlign w:val="center"/>
          </w:tcPr>
          <w:p>
            <w:pPr>
              <w:jc w:val="center"/>
              <w:rPr>
                <w:sz w:val="18"/>
                <w:szCs w:val="18"/>
                <w:highlight w:val="none"/>
              </w:rPr>
            </w:pPr>
            <w:r>
              <w:rPr>
                <w:rFonts w:hint="eastAsia"/>
                <w:sz w:val="18"/>
                <w:szCs w:val="18"/>
                <w:highlight w:val="none"/>
              </w:rPr>
              <w:t>1</w:t>
            </w:r>
          </w:p>
        </w:tc>
        <w:tc>
          <w:tcPr>
            <w:tcW w:w="1417" w:type="dxa"/>
            <w:shd w:val="clear" w:color="auto" w:fill="auto"/>
            <w:vAlign w:val="center"/>
          </w:tcPr>
          <w:p>
            <w:pPr>
              <w:jc w:val="center"/>
              <w:rPr>
                <w:sz w:val="18"/>
                <w:szCs w:val="18"/>
                <w:highlight w:val="none"/>
              </w:rPr>
            </w:pPr>
            <w:r>
              <w:rPr>
                <w:rFonts w:hint="eastAsia"/>
                <w:sz w:val="18"/>
                <w:szCs w:val="18"/>
                <w:highlight w:val="none"/>
              </w:rPr>
              <w:t>2</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3</w:t>
            </w:r>
          </w:p>
        </w:tc>
        <w:tc>
          <w:tcPr>
            <w:tcW w:w="1417" w:type="dxa"/>
            <w:shd w:val="clear" w:color="auto" w:fill="auto"/>
            <w:vAlign w:val="center"/>
          </w:tcPr>
          <w:p>
            <w:pPr>
              <w:jc w:val="center"/>
              <w:rPr>
                <w:sz w:val="18"/>
                <w:szCs w:val="18"/>
                <w:highlight w:val="none"/>
              </w:rPr>
            </w:pPr>
            <w:r>
              <w:rPr>
                <w:rFonts w:hint="eastAsia"/>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bl>
    <w:p>
      <w:pPr>
        <w:widowControl/>
        <w:jc w:val="left"/>
        <w:rPr>
          <w:rFonts w:ascii="仿宋" w:eastAsia="仿宋"/>
          <w:b/>
          <w:color w:val="000000"/>
          <w:szCs w:val="21"/>
          <w:highlight w:val="none"/>
        </w:rPr>
      </w:pPr>
      <w:r>
        <w:rPr>
          <w:rFonts w:hint="eastAsia" w:ascii="仿宋" w:eastAsia="仿宋"/>
          <w:b/>
          <w:color w:val="000000"/>
          <w:szCs w:val="21"/>
          <w:highlight w:val="none"/>
        </w:rPr>
        <w:t>皮山县社会保险服务中心2025年没有使用政府性基金预算拨款安排的支出，政府性基金预算支出情况表为空表。</w:t>
      </w:r>
    </w:p>
    <w:p>
      <w:pPr>
        <w:widowControl/>
        <w:jc w:val="left"/>
        <w:rPr>
          <w:rFonts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表9</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国有资本经营预算支出情况表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编制部门：皮山县社会保险服务中心</w:t>
            </w:r>
          </w:p>
        </w:tc>
        <w:tc>
          <w:tcPr>
            <w:tcW w:w="191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5670" w:type="dxa"/>
            <w:gridSpan w:val="5"/>
            <w:shd w:val="clear" w:color="auto" w:fill="auto"/>
            <w:vAlign w:val="center"/>
          </w:tcPr>
          <w:p>
            <w:pPr>
              <w:jc w:val="center"/>
              <w:rPr>
                <w:sz w:val="18"/>
                <w:szCs w:val="18"/>
                <w:highlight w:val="none"/>
              </w:rPr>
            </w:pPr>
            <w:r>
              <w:rPr>
                <w:rFonts w:hint="eastAsia"/>
                <w:sz w:val="18"/>
                <w:szCs w:val="18"/>
                <w:highlight w:val="none"/>
              </w:rPr>
              <w:t>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2551"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418"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2835" w:type="dxa"/>
            <w:gridSpan w:val="3"/>
            <w:shd w:val="clear" w:color="auto" w:fill="auto"/>
            <w:vAlign w:val="center"/>
          </w:tcPr>
          <w:p>
            <w:pPr>
              <w:jc w:val="center"/>
              <w:rPr>
                <w:sz w:val="18"/>
                <w:szCs w:val="18"/>
                <w:highlight w:val="none"/>
              </w:rPr>
            </w:pPr>
            <w:r>
              <w:rPr>
                <w:rFonts w:hint="eastAsia"/>
                <w:sz w:val="18"/>
                <w:szCs w:val="18"/>
                <w:highlight w:val="none"/>
              </w:rPr>
              <w:t>基本支出</w:t>
            </w:r>
          </w:p>
        </w:tc>
        <w:tc>
          <w:tcPr>
            <w:tcW w:w="141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2551" w:type="dxa"/>
            <w:vMerge w:val="continue"/>
            <w:shd w:val="clear" w:color="auto" w:fill="auto"/>
            <w:vAlign w:val="center"/>
          </w:tcPr>
          <w:p>
            <w:pPr>
              <w:jc w:val="center"/>
              <w:rPr>
                <w:sz w:val="18"/>
                <w:szCs w:val="18"/>
                <w:highlight w:val="none"/>
              </w:rPr>
            </w:pPr>
          </w:p>
        </w:tc>
        <w:tc>
          <w:tcPr>
            <w:tcW w:w="1418" w:type="dxa"/>
            <w:vMerge w:val="continue"/>
            <w:shd w:val="clear" w:color="auto" w:fill="auto"/>
            <w:vAlign w:val="center"/>
          </w:tcPr>
          <w:p>
            <w:pPr>
              <w:jc w:val="center"/>
              <w:rPr>
                <w:sz w:val="18"/>
                <w:szCs w:val="18"/>
                <w:highlight w:val="none"/>
              </w:rPr>
            </w:pPr>
          </w:p>
        </w:tc>
        <w:tc>
          <w:tcPr>
            <w:tcW w:w="1417" w:type="dxa"/>
            <w:shd w:val="clear" w:color="auto" w:fill="auto"/>
            <w:vAlign w:val="center"/>
          </w:tcPr>
          <w:p>
            <w:pPr>
              <w:jc w:val="center"/>
              <w:rPr>
                <w:sz w:val="18"/>
                <w:szCs w:val="18"/>
                <w:highlight w:val="none"/>
              </w:rPr>
            </w:pPr>
            <w:r>
              <w:rPr>
                <w:rFonts w:hint="eastAsia"/>
                <w:sz w:val="18"/>
                <w:szCs w:val="18"/>
                <w:highlight w:val="none"/>
              </w:rPr>
              <w:t>人员经费</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公用经费</w:t>
            </w:r>
          </w:p>
        </w:tc>
        <w:tc>
          <w:tcPr>
            <w:tcW w:w="141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55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418" w:type="dxa"/>
            <w:shd w:val="clear" w:color="auto" w:fill="auto"/>
            <w:vAlign w:val="center"/>
          </w:tcPr>
          <w:p>
            <w:pPr>
              <w:jc w:val="center"/>
              <w:rPr>
                <w:sz w:val="18"/>
                <w:szCs w:val="18"/>
                <w:highlight w:val="none"/>
              </w:rPr>
            </w:pPr>
            <w:r>
              <w:rPr>
                <w:rFonts w:hint="eastAsia"/>
                <w:sz w:val="18"/>
                <w:szCs w:val="18"/>
                <w:highlight w:val="none"/>
              </w:rPr>
              <w:t>1</w:t>
            </w:r>
          </w:p>
        </w:tc>
        <w:tc>
          <w:tcPr>
            <w:tcW w:w="1417" w:type="dxa"/>
            <w:shd w:val="clear" w:color="auto" w:fill="auto"/>
            <w:vAlign w:val="center"/>
          </w:tcPr>
          <w:p>
            <w:pPr>
              <w:jc w:val="center"/>
              <w:rPr>
                <w:sz w:val="18"/>
                <w:szCs w:val="18"/>
                <w:highlight w:val="none"/>
              </w:rPr>
            </w:pPr>
            <w:r>
              <w:rPr>
                <w:rFonts w:hint="eastAsia"/>
                <w:sz w:val="18"/>
                <w:szCs w:val="18"/>
                <w:highlight w:val="none"/>
              </w:rPr>
              <w:t>2</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3</w:t>
            </w:r>
          </w:p>
        </w:tc>
        <w:tc>
          <w:tcPr>
            <w:tcW w:w="1417" w:type="dxa"/>
            <w:shd w:val="clear" w:color="auto" w:fill="auto"/>
            <w:vAlign w:val="center"/>
          </w:tcPr>
          <w:p>
            <w:pPr>
              <w:jc w:val="center"/>
              <w:rPr>
                <w:sz w:val="18"/>
                <w:szCs w:val="18"/>
                <w:highlight w:val="none"/>
              </w:rPr>
            </w:pPr>
            <w:r>
              <w:rPr>
                <w:rFonts w:hint="eastAsia"/>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bl>
    <w:p>
      <w:pPr>
        <w:widowControl/>
        <w:jc w:val="left"/>
        <w:rPr>
          <w:rFonts w:ascii="仿宋" w:eastAsia="仿宋"/>
          <w:b/>
          <w:color w:val="000000"/>
          <w:szCs w:val="21"/>
          <w:highlight w:val="none"/>
        </w:rPr>
      </w:pPr>
      <w:r>
        <w:rPr>
          <w:rFonts w:hint="eastAsia" w:ascii="仿宋" w:eastAsia="仿宋"/>
          <w:b/>
          <w:color w:val="000000"/>
          <w:szCs w:val="21"/>
          <w:highlight w:val="none"/>
        </w:rPr>
        <w:t>皮山县社会保险服务中心2025年没有使用国有资本经营预算拨款安排的支出，国有资本经营预算支出情况表为空表。</w:t>
      </w:r>
    </w:p>
    <w:p>
      <w:pPr>
        <w:widowControl/>
        <w:jc w:val="left"/>
        <w:rPr>
          <w:rFonts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表10</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财政拨款“三公”经费支出情况表</w:t>
      </w:r>
    </w:p>
    <w:tbl>
      <w:tblPr>
        <w:tblStyle w:val="8"/>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4191"/>
        <w:gridCol w:w="1373"/>
        <w:gridCol w:w="1373"/>
        <w:gridCol w:w="1373"/>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8310" w:type="dxa"/>
            <w:gridSpan w:val="4"/>
            <w:tcBorders>
              <w:top w:val="nil"/>
              <w:left w:val="nil"/>
              <w:right w:val="nil"/>
            </w:tcBorders>
            <w:shd w:val="clear" w:color="auto" w:fill="auto"/>
            <w:vAlign w:val="center"/>
          </w:tcPr>
          <w:p>
            <w:pPr>
              <w:jc w:val="left"/>
              <w:rPr>
                <w:rFonts w:hint="eastAsia" w:ascii="宋体" w:hAnsi="宋体"/>
                <w:sz w:val="18"/>
                <w:szCs w:val="18"/>
                <w:highlight w:val="none"/>
              </w:rPr>
            </w:pPr>
            <w:r>
              <w:rPr>
                <w:rFonts w:hint="eastAsia"/>
                <w:color w:val="000000"/>
                <w:sz w:val="18"/>
                <w:szCs w:val="18"/>
                <w:highlight w:val="none"/>
              </w:rPr>
              <w:t>编制部门：皮山县社会保险服务中心</w:t>
            </w:r>
          </w:p>
        </w:tc>
        <w:tc>
          <w:tcPr>
            <w:tcW w:w="1403" w:type="dxa"/>
            <w:tcBorders>
              <w:top w:val="nil"/>
              <w:left w:val="nil"/>
              <w:right w:val="nil"/>
            </w:tcBorders>
            <w:shd w:val="clear" w:color="auto" w:fill="auto"/>
            <w:vAlign w:val="center"/>
          </w:tcPr>
          <w:p>
            <w:pPr>
              <w:jc w:val="right"/>
              <w:rPr>
                <w:rFonts w:hint="eastAsia" w:ascii="宋体" w:hAnsi="宋体"/>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4191" w:type="dxa"/>
            <w:vMerge w:val="restart"/>
            <w:shd w:val="clear" w:color="auto" w:fill="auto"/>
            <w:vAlign w:val="center"/>
          </w:tcPr>
          <w:p>
            <w:pPr>
              <w:jc w:val="center"/>
              <w:rPr>
                <w:rFonts w:hint="eastAsia" w:ascii="宋体" w:hAnsi="宋体"/>
                <w:color w:val="000000"/>
                <w:sz w:val="18"/>
                <w:szCs w:val="18"/>
                <w:highlight w:val="none"/>
              </w:rPr>
            </w:pPr>
            <w:r>
              <w:rPr>
                <w:rFonts w:hint="eastAsia" w:ascii="宋体" w:hAnsi="宋体"/>
                <w:color w:val="000000"/>
                <w:sz w:val="18"/>
                <w:szCs w:val="18"/>
                <w:highlight w:val="none"/>
              </w:rPr>
              <w:t>“三公”经费支出内容</w:t>
            </w:r>
          </w:p>
        </w:tc>
        <w:tc>
          <w:tcPr>
            <w:tcW w:w="1373" w:type="dxa"/>
            <w:vMerge w:val="restart"/>
            <w:shd w:val="clear" w:color="auto" w:fill="auto"/>
            <w:vAlign w:val="center"/>
          </w:tcPr>
          <w:p>
            <w:pPr>
              <w:jc w:val="center"/>
              <w:rPr>
                <w:rFonts w:hint="eastAsia" w:ascii="宋体" w:hAnsi="宋体"/>
                <w:color w:val="000000"/>
                <w:sz w:val="18"/>
                <w:szCs w:val="18"/>
                <w:highlight w:val="none"/>
              </w:rPr>
            </w:pPr>
            <w:r>
              <w:rPr>
                <w:rFonts w:hint="eastAsia" w:ascii="宋体" w:hAnsi="宋体"/>
                <w:sz w:val="18"/>
                <w:szCs w:val="18"/>
                <w:highlight w:val="none"/>
              </w:rPr>
              <w:t>合计</w:t>
            </w:r>
          </w:p>
        </w:tc>
        <w:tc>
          <w:tcPr>
            <w:tcW w:w="4149" w:type="dxa"/>
            <w:gridSpan w:val="3"/>
            <w:shd w:val="clear" w:color="auto" w:fill="auto"/>
            <w:vAlign w:val="center"/>
          </w:tcPr>
          <w:p>
            <w:pPr>
              <w:jc w:val="center"/>
              <w:rPr>
                <w:rFonts w:hint="eastAsia" w:ascii="宋体" w:hAnsi="宋体"/>
                <w:color w:val="000000"/>
                <w:sz w:val="18"/>
                <w:szCs w:val="18"/>
                <w:highlight w:val="none"/>
              </w:rPr>
            </w:pPr>
            <w:r>
              <w:rPr>
                <w:rFonts w:hint="eastAsia"/>
                <w:sz w:val="18"/>
                <w:szCs w:val="18"/>
                <w:highlight w:val="none"/>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421" w:hRule="atLeast"/>
          <w:tblHeader/>
          <w:jc w:val="center"/>
        </w:trPr>
        <w:tc>
          <w:tcPr>
            <w:tcW w:w="4191" w:type="dxa"/>
            <w:vMerge w:val="continue"/>
            <w:shd w:val="clear" w:color="auto" w:fill="auto"/>
            <w:vAlign w:val="center"/>
          </w:tcPr>
          <w:p>
            <w:pPr>
              <w:jc w:val="center"/>
              <w:rPr>
                <w:rFonts w:hint="eastAsia" w:ascii="宋体" w:hAnsi="宋体"/>
                <w:color w:val="000000"/>
                <w:sz w:val="18"/>
                <w:szCs w:val="18"/>
                <w:highlight w:val="none"/>
              </w:rPr>
            </w:pPr>
          </w:p>
        </w:tc>
        <w:tc>
          <w:tcPr>
            <w:tcW w:w="1373" w:type="dxa"/>
            <w:vMerge w:val="continue"/>
            <w:shd w:val="clear" w:color="auto" w:fill="auto"/>
            <w:vAlign w:val="center"/>
          </w:tcPr>
          <w:p>
            <w:pPr>
              <w:jc w:val="center"/>
              <w:rPr>
                <w:rFonts w:hint="eastAsia" w:ascii="宋体" w:hAnsi="宋体"/>
                <w:color w:val="000000"/>
                <w:sz w:val="18"/>
                <w:szCs w:val="18"/>
                <w:highlight w:val="none"/>
              </w:rPr>
            </w:pPr>
          </w:p>
        </w:tc>
        <w:tc>
          <w:tcPr>
            <w:tcW w:w="1373"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一般公共预算</w:t>
            </w:r>
          </w:p>
        </w:tc>
        <w:tc>
          <w:tcPr>
            <w:tcW w:w="1373"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政府性基金</w:t>
            </w:r>
          </w:p>
        </w:tc>
        <w:tc>
          <w:tcPr>
            <w:tcW w:w="1403"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jc w:val="center"/>
        </w:trPr>
        <w:tc>
          <w:tcPr>
            <w:tcW w:w="4191" w:type="dxa"/>
            <w:shd w:val="clear" w:color="auto" w:fill="auto"/>
            <w:vAlign w:val="center"/>
          </w:tcPr>
          <w:p>
            <w:pPr>
              <w:jc w:val="center"/>
              <w:rPr>
                <w:rFonts w:hint="eastAsia" w:ascii="宋体" w:hAnsi="宋体"/>
                <w:color w:val="000000"/>
                <w:sz w:val="18"/>
                <w:szCs w:val="18"/>
                <w:highlight w:val="none"/>
              </w:rPr>
            </w:pPr>
            <w:r>
              <w:rPr>
                <w:rFonts w:hint="eastAsia"/>
                <w:color w:val="000000"/>
                <w:sz w:val="18"/>
                <w:szCs w:val="18"/>
                <w:highlight w:val="none"/>
              </w:rPr>
              <w:t>※</w:t>
            </w:r>
          </w:p>
        </w:tc>
        <w:tc>
          <w:tcPr>
            <w:tcW w:w="1373" w:type="dxa"/>
            <w:shd w:val="clear" w:color="auto" w:fill="auto"/>
            <w:vAlign w:val="center"/>
          </w:tcPr>
          <w:p>
            <w:pPr>
              <w:jc w:val="center"/>
              <w:rPr>
                <w:rFonts w:hint="eastAsia" w:ascii="宋体" w:hAnsi="宋体"/>
                <w:color w:val="000000"/>
                <w:sz w:val="18"/>
                <w:szCs w:val="18"/>
                <w:highlight w:val="none"/>
              </w:rPr>
            </w:pPr>
            <w:r>
              <w:rPr>
                <w:rFonts w:hint="eastAsia" w:ascii="宋体" w:hAnsi="宋体"/>
                <w:color w:val="000000"/>
                <w:sz w:val="18"/>
                <w:szCs w:val="18"/>
                <w:highlight w:val="none"/>
              </w:rPr>
              <w:t>1</w:t>
            </w:r>
          </w:p>
        </w:tc>
        <w:tc>
          <w:tcPr>
            <w:tcW w:w="1373" w:type="dxa"/>
            <w:shd w:val="clear" w:color="auto" w:fill="auto"/>
            <w:vAlign w:val="center"/>
          </w:tcPr>
          <w:p>
            <w:pPr>
              <w:jc w:val="center"/>
              <w:rPr>
                <w:rFonts w:hint="eastAsia" w:ascii="宋体" w:hAnsi="宋体"/>
                <w:color w:val="000000"/>
                <w:sz w:val="18"/>
                <w:szCs w:val="18"/>
                <w:highlight w:val="none"/>
              </w:rPr>
            </w:pPr>
            <w:r>
              <w:rPr>
                <w:rFonts w:hint="eastAsia" w:ascii="宋体" w:hAnsi="宋体"/>
                <w:color w:val="000000"/>
                <w:sz w:val="18"/>
                <w:szCs w:val="18"/>
                <w:highlight w:val="none"/>
              </w:rPr>
              <w:t>2</w:t>
            </w:r>
          </w:p>
        </w:tc>
        <w:tc>
          <w:tcPr>
            <w:tcW w:w="1373" w:type="dxa"/>
            <w:shd w:val="clear" w:color="auto" w:fill="auto"/>
            <w:vAlign w:val="center"/>
          </w:tcPr>
          <w:p>
            <w:pPr>
              <w:jc w:val="center"/>
              <w:rPr>
                <w:rFonts w:hint="eastAsia" w:ascii="宋体" w:hAnsi="宋体"/>
                <w:color w:val="000000"/>
                <w:sz w:val="18"/>
                <w:szCs w:val="18"/>
                <w:highlight w:val="none"/>
              </w:rPr>
            </w:pPr>
            <w:r>
              <w:rPr>
                <w:rFonts w:hint="eastAsia" w:ascii="宋体" w:hAnsi="宋体"/>
                <w:color w:val="000000"/>
                <w:sz w:val="18"/>
                <w:szCs w:val="18"/>
                <w:highlight w:val="none"/>
              </w:rPr>
              <w:t>3</w:t>
            </w:r>
          </w:p>
        </w:tc>
        <w:tc>
          <w:tcPr>
            <w:tcW w:w="1403" w:type="dxa"/>
            <w:shd w:val="clear" w:color="auto" w:fill="auto"/>
            <w:vAlign w:val="center"/>
          </w:tcPr>
          <w:p>
            <w:pPr>
              <w:jc w:val="center"/>
              <w:rPr>
                <w:rFonts w:hint="eastAsia" w:ascii="宋体" w:hAnsi="宋体"/>
                <w:color w:val="000000"/>
                <w:sz w:val="18"/>
                <w:szCs w:val="18"/>
                <w:highlight w:val="none"/>
              </w:rPr>
            </w:pPr>
            <w:r>
              <w:rPr>
                <w:rFonts w:hint="eastAsia" w:ascii="宋体" w:hAnsi="宋体"/>
                <w:color w:val="000000"/>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eastAsia" w:ascii="宋体" w:hAnsi="宋体"/>
                <w:color w:val="000000"/>
                <w:sz w:val="18"/>
                <w:szCs w:val="18"/>
                <w:highlight w:val="none"/>
              </w:rPr>
            </w:pPr>
            <w:r>
              <w:rPr>
                <w:rFonts w:ascii="宋体" w:hAnsi="宋体"/>
                <w:b/>
                <w:kern w:val="0"/>
                <w:sz w:val="18"/>
                <w:szCs w:val="18"/>
                <w:highlight w:val="none"/>
              </w:rPr>
              <w:t>合计</w:t>
            </w: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403"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eastAsia" w:ascii="宋体" w:hAnsi="宋体"/>
                <w:color w:val="000000"/>
                <w:sz w:val="18"/>
                <w:szCs w:val="18"/>
                <w:highlight w:val="none"/>
              </w:rPr>
            </w:pPr>
            <w:r>
              <w:rPr>
                <w:rFonts w:ascii="宋体" w:hAnsi="宋体"/>
                <w:kern w:val="0"/>
                <w:sz w:val="18"/>
                <w:szCs w:val="18"/>
                <w:highlight w:val="none"/>
              </w:rPr>
              <w:t>因公出国（境）费</w:t>
            </w: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403"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eastAsia" w:ascii="宋体" w:hAnsi="宋体"/>
                <w:color w:val="000000"/>
                <w:sz w:val="18"/>
                <w:szCs w:val="18"/>
                <w:highlight w:val="none"/>
              </w:rPr>
            </w:pPr>
            <w:r>
              <w:rPr>
                <w:rFonts w:ascii="宋体" w:hAnsi="宋体"/>
                <w:kern w:val="0"/>
                <w:sz w:val="18"/>
                <w:szCs w:val="18"/>
                <w:highlight w:val="none"/>
              </w:rPr>
              <w:t>公务接待费</w:t>
            </w: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403"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eastAsia" w:ascii="宋体" w:hAnsi="宋体"/>
                <w:color w:val="000000"/>
                <w:sz w:val="18"/>
                <w:szCs w:val="18"/>
                <w:highlight w:val="none"/>
              </w:rPr>
            </w:pPr>
            <w:r>
              <w:rPr>
                <w:rFonts w:ascii="宋体" w:hAnsi="宋体"/>
                <w:b/>
                <w:kern w:val="0"/>
                <w:sz w:val="18"/>
                <w:szCs w:val="18"/>
                <w:highlight w:val="none"/>
              </w:rPr>
              <w:t>公务用车购置及运行费（小计）</w:t>
            </w: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403"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eastAsia" w:ascii="宋体" w:hAnsi="宋体"/>
                <w:color w:val="000000"/>
                <w:sz w:val="18"/>
                <w:szCs w:val="18"/>
                <w:highlight w:val="none"/>
              </w:rPr>
            </w:pPr>
            <w:r>
              <w:rPr>
                <w:rFonts w:ascii="宋体" w:hAnsi="宋体"/>
                <w:kern w:val="0"/>
                <w:sz w:val="18"/>
                <w:szCs w:val="18"/>
                <w:highlight w:val="none"/>
              </w:rPr>
              <w:t>其中：公务用车购置费</w:t>
            </w: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403"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eastAsia" w:ascii="宋体" w:hAnsi="宋体"/>
                <w:color w:val="000000"/>
                <w:sz w:val="18"/>
                <w:szCs w:val="18"/>
                <w:highlight w:val="none"/>
              </w:rPr>
            </w:pPr>
            <w:r>
              <w:rPr>
                <w:rFonts w:ascii="宋体" w:hAnsi="宋体"/>
                <w:kern w:val="0"/>
                <w:sz w:val="18"/>
                <w:szCs w:val="18"/>
                <w:highlight w:val="none"/>
              </w:rPr>
              <w:t xml:space="preserve">      公务用车运行费</w:t>
            </w: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373" w:type="dxa"/>
            <w:shd w:val="clear" w:color="auto" w:fill="auto"/>
            <w:vAlign w:val="center"/>
          </w:tcPr>
          <w:p>
            <w:pPr>
              <w:jc w:val="right"/>
              <w:rPr>
                <w:rFonts w:hint="eastAsia" w:ascii="宋体" w:hAnsi="宋体"/>
                <w:color w:val="000000"/>
                <w:sz w:val="18"/>
                <w:szCs w:val="18"/>
                <w:highlight w:val="none"/>
              </w:rPr>
            </w:pPr>
          </w:p>
        </w:tc>
        <w:tc>
          <w:tcPr>
            <w:tcW w:w="1403" w:type="dxa"/>
            <w:shd w:val="clear" w:color="auto" w:fill="auto"/>
            <w:vAlign w:val="center"/>
          </w:tcPr>
          <w:p>
            <w:pPr>
              <w:jc w:val="right"/>
              <w:rPr>
                <w:rFonts w:hint="eastAsia" w:ascii="宋体" w:hAnsi="宋体"/>
                <w:color w:val="000000"/>
                <w:sz w:val="18"/>
                <w:szCs w:val="18"/>
                <w:highlight w:val="none"/>
              </w:rPr>
            </w:pPr>
          </w:p>
        </w:tc>
      </w:tr>
    </w:tbl>
    <w:p>
      <w:pPr>
        <w:widowControl/>
        <w:jc w:val="left"/>
        <w:rPr>
          <w:rFonts w:ascii="仿宋" w:eastAsia="仿宋"/>
          <w:b/>
          <w:color w:val="000000"/>
          <w:szCs w:val="21"/>
          <w:highlight w:val="none"/>
        </w:rPr>
      </w:pPr>
      <w:r>
        <w:rPr>
          <w:rFonts w:hint="eastAsia" w:ascii="仿宋" w:eastAsia="仿宋"/>
          <w:b/>
          <w:color w:val="000000"/>
          <w:szCs w:val="21"/>
          <w:highlight w:val="none"/>
        </w:rPr>
        <w:t>皮山县社会保险服务中心2025年没有使用财政拨款安排“三公”经费支出，财政拨款“三公”经费支出情况表为空表。</w:t>
      </w:r>
    </w:p>
    <w:p>
      <w:pPr>
        <w:widowControl/>
        <w:jc w:val="left"/>
        <w:rPr>
          <w:rFonts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表11</w:t>
      </w:r>
    </w:p>
    <w:p>
      <w:pPr>
        <w:jc w:val="center"/>
        <w:rPr>
          <w:rFonts w:hint="eastAsia" w:ascii="仿宋" w:hAnsi="宋体" w:eastAsia="仿宋"/>
          <w:b/>
          <w:color w:val="000000"/>
          <w:sz w:val="28"/>
          <w:szCs w:val="28"/>
          <w:highlight w:val="none"/>
        </w:rPr>
      </w:pPr>
      <w:r>
        <w:rPr>
          <w:rFonts w:hint="eastAsia" w:ascii="仿宋" w:hAnsi="宋体" w:eastAsia="仿宋"/>
          <w:b/>
          <w:color w:val="000000"/>
          <w:sz w:val="28"/>
          <w:szCs w:val="28"/>
          <w:highlight w:val="none"/>
        </w:rPr>
        <w:t>上年结转结余情况明细表</w:t>
      </w:r>
    </w:p>
    <w:tbl>
      <w:tblPr>
        <w:tblStyle w:val="8"/>
        <w:tblW w:w="14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402"/>
        <w:gridCol w:w="1247"/>
        <w:gridCol w:w="1247"/>
        <w:gridCol w:w="1247"/>
        <w:gridCol w:w="1247"/>
        <w:gridCol w:w="1247"/>
        <w:gridCol w:w="740"/>
        <w:gridCol w:w="507"/>
        <w:gridCol w:w="1247"/>
        <w:gridCol w:w="1247"/>
        <w:gridCol w:w="124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0377" w:type="dxa"/>
            <w:gridSpan w:val="7"/>
            <w:tcBorders>
              <w:top w:val="nil"/>
              <w:left w:val="nil"/>
              <w:right w:val="nil"/>
            </w:tcBorders>
            <w:shd w:val="clear" w:color="auto" w:fill="auto"/>
            <w:vAlign w:val="center"/>
          </w:tcPr>
          <w:p>
            <w:pPr>
              <w:jc w:val="left"/>
              <w:rPr>
                <w:color w:val="000000"/>
                <w:sz w:val="18"/>
                <w:szCs w:val="18"/>
                <w:highlight w:val="none"/>
              </w:rPr>
            </w:pPr>
            <w:r>
              <w:rPr>
                <w:rFonts w:hint="eastAsia"/>
                <w:color w:val="000000"/>
                <w:sz w:val="18"/>
                <w:szCs w:val="18"/>
                <w:highlight w:val="none"/>
              </w:rPr>
              <w:t>编制部门：皮山县社会保险服务中心</w:t>
            </w:r>
          </w:p>
        </w:tc>
        <w:tc>
          <w:tcPr>
            <w:tcW w:w="4254" w:type="dxa"/>
            <w:gridSpan w:val="5"/>
            <w:tcBorders>
              <w:top w:val="nil"/>
              <w:left w:val="nil"/>
              <w:right w:val="nil"/>
            </w:tcBorders>
            <w:shd w:val="clear" w:color="auto" w:fill="auto"/>
          </w:tcPr>
          <w:p>
            <w:pPr>
              <w:jc w:val="right"/>
              <w:rPr>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20" w:hRule="atLeast"/>
          <w:tblHeader/>
        </w:trPr>
        <w:tc>
          <w:tcPr>
            <w:tcW w:w="3402" w:type="dxa"/>
            <w:vMerge w:val="restart"/>
            <w:shd w:val="clear" w:color="auto" w:fill="auto"/>
            <w:vAlign w:val="center"/>
          </w:tcPr>
          <w:p>
            <w:pPr>
              <w:jc w:val="center"/>
              <w:rPr>
                <w:sz w:val="18"/>
                <w:szCs w:val="18"/>
                <w:highlight w:val="none"/>
              </w:rPr>
            </w:pPr>
            <w:r>
              <w:rPr>
                <w:rFonts w:hint="eastAsia"/>
                <w:sz w:val="18"/>
                <w:szCs w:val="18"/>
                <w:highlight w:val="none"/>
              </w:rPr>
              <w:t>项目</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4988" w:type="dxa"/>
            <w:gridSpan w:val="4"/>
            <w:shd w:val="clear" w:color="auto" w:fill="auto"/>
            <w:vAlign w:val="center"/>
          </w:tcPr>
          <w:p>
            <w:pPr>
              <w:jc w:val="center"/>
              <w:rPr>
                <w:sz w:val="18"/>
                <w:szCs w:val="18"/>
                <w:highlight w:val="none"/>
              </w:rPr>
            </w:pPr>
            <w:r>
              <w:rPr>
                <w:rFonts w:hint="eastAsia"/>
                <w:sz w:val="18"/>
                <w:szCs w:val="18"/>
                <w:highlight w:val="none"/>
              </w:rPr>
              <w:t>财政拨款</w:t>
            </w:r>
          </w:p>
        </w:tc>
        <w:tc>
          <w:tcPr>
            <w:tcW w:w="4988" w:type="dxa"/>
            <w:gridSpan w:val="5"/>
            <w:shd w:val="clear" w:color="auto" w:fill="auto"/>
            <w:vAlign w:val="center"/>
          </w:tcPr>
          <w:p>
            <w:pPr>
              <w:jc w:val="center"/>
              <w:rPr>
                <w:sz w:val="18"/>
                <w:szCs w:val="18"/>
                <w:highlight w:val="none"/>
              </w:rPr>
            </w:pPr>
            <w:r>
              <w:rPr>
                <w:rFonts w:hint="eastAsia"/>
                <w:sz w:val="18"/>
                <w:szCs w:val="18"/>
                <w:highlight w:val="none"/>
              </w:rPr>
              <w:t>非财政拨款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小计</w:t>
            </w:r>
          </w:p>
        </w:tc>
        <w:tc>
          <w:tcPr>
            <w:tcW w:w="2494" w:type="dxa"/>
            <w:gridSpan w:val="2"/>
            <w:shd w:val="clear" w:color="auto" w:fill="auto"/>
            <w:vAlign w:val="center"/>
          </w:tcPr>
          <w:p>
            <w:pPr>
              <w:jc w:val="center"/>
              <w:rPr>
                <w:sz w:val="18"/>
                <w:szCs w:val="18"/>
                <w:highlight w:val="none"/>
              </w:rPr>
            </w:pPr>
            <w:r>
              <w:rPr>
                <w:rFonts w:hint="eastAsia"/>
                <w:sz w:val="18"/>
                <w:szCs w:val="18"/>
                <w:highlight w:val="none"/>
              </w:rPr>
              <w:t>基本支出</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c>
          <w:tcPr>
            <w:tcW w:w="1247" w:type="dxa"/>
            <w:gridSpan w:val="2"/>
            <w:vMerge w:val="restart"/>
            <w:shd w:val="clear" w:color="auto" w:fill="auto"/>
            <w:vAlign w:val="center"/>
          </w:tcPr>
          <w:p>
            <w:pPr>
              <w:jc w:val="center"/>
              <w:rPr>
                <w:sz w:val="18"/>
                <w:szCs w:val="18"/>
                <w:highlight w:val="none"/>
              </w:rPr>
            </w:pPr>
            <w:r>
              <w:rPr>
                <w:rFonts w:hint="eastAsia"/>
                <w:sz w:val="18"/>
                <w:szCs w:val="18"/>
                <w:highlight w:val="none"/>
              </w:rPr>
              <w:t>小计</w:t>
            </w:r>
          </w:p>
        </w:tc>
        <w:tc>
          <w:tcPr>
            <w:tcW w:w="2494" w:type="dxa"/>
            <w:gridSpan w:val="2"/>
            <w:shd w:val="clear" w:color="auto" w:fill="auto"/>
            <w:vAlign w:val="center"/>
          </w:tcPr>
          <w:p>
            <w:pPr>
              <w:jc w:val="center"/>
              <w:rPr>
                <w:sz w:val="18"/>
                <w:szCs w:val="18"/>
                <w:highlight w:val="none"/>
              </w:rPr>
            </w:pPr>
            <w:r>
              <w:rPr>
                <w:rFonts w:hint="eastAsia"/>
                <w:sz w:val="18"/>
                <w:szCs w:val="18"/>
                <w:highlight w:val="none"/>
              </w:rPr>
              <w:t>基本支出</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shd w:val="clear" w:color="auto" w:fill="auto"/>
            <w:vAlign w:val="center"/>
          </w:tcPr>
          <w:p>
            <w:pPr>
              <w:jc w:val="center"/>
              <w:rPr>
                <w:sz w:val="18"/>
                <w:szCs w:val="18"/>
                <w:highlight w:val="none"/>
              </w:rPr>
            </w:pPr>
            <w:r>
              <w:rPr>
                <w:rFonts w:hint="eastAsia"/>
                <w:sz w:val="18"/>
                <w:szCs w:val="18"/>
                <w:highlight w:val="none"/>
              </w:rPr>
              <w:t>人员经费</w:t>
            </w:r>
          </w:p>
        </w:tc>
        <w:tc>
          <w:tcPr>
            <w:tcW w:w="1247" w:type="dxa"/>
            <w:shd w:val="clear" w:color="auto" w:fill="auto"/>
            <w:vAlign w:val="center"/>
          </w:tcPr>
          <w:p>
            <w:pPr>
              <w:jc w:val="center"/>
              <w:rPr>
                <w:sz w:val="18"/>
                <w:szCs w:val="18"/>
                <w:highlight w:val="none"/>
              </w:rPr>
            </w:pPr>
            <w:r>
              <w:rPr>
                <w:rFonts w:hint="eastAsia"/>
                <w:sz w:val="18"/>
                <w:szCs w:val="18"/>
                <w:highlight w:val="none"/>
              </w:rPr>
              <w:t>公用经费</w:t>
            </w:r>
          </w:p>
        </w:tc>
        <w:tc>
          <w:tcPr>
            <w:tcW w:w="1247" w:type="dxa"/>
            <w:vMerge w:val="continue"/>
            <w:shd w:val="clear" w:color="auto" w:fill="auto"/>
            <w:vAlign w:val="center"/>
          </w:tcPr>
          <w:p>
            <w:pPr>
              <w:jc w:val="center"/>
              <w:rPr>
                <w:sz w:val="18"/>
                <w:szCs w:val="18"/>
                <w:highlight w:val="none"/>
              </w:rPr>
            </w:pPr>
          </w:p>
        </w:tc>
        <w:tc>
          <w:tcPr>
            <w:tcW w:w="1247" w:type="dxa"/>
            <w:gridSpan w:val="2"/>
            <w:vMerge w:val="continue"/>
            <w:shd w:val="clear" w:color="auto" w:fill="auto"/>
            <w:vAlign w:val="center"/>
          </w:tcPr>
          <w:p>
            <w:pPr>
              <w:jc w:val="center"/>
              <w:rPr>
                <w:sz w:val="18"/>
                <w:szCs w:val="18"/>
                <w:highlight w:val="none"/>
              </w:rPr>
            </w:pPr>
          </w:p>
        </w:tc>
        <w:tc>
          <w:tcPr>
            <w:tcW w:w="1247" w:type="dxa"/>
            <w:shd w:val="clear" w:color="auto" w:fill="auto"/>
            <w:vAlign w:val="center"/>
          </w:tcPr>
          <w:p>
            <w:pPr>
              <w:jc w:val="center"/>
              <w:rPr>
                <w:sz w:val="18"/>
                <w:szCs w:val="18"/>
                <w:highlight w:val="none"/>
              </w:rPr>
            </w:pPr>
            <w:r>
              <w:rPr>
                <w:rFonts w:hint="eastAsia"/>
                <w:sz w:val="18"/>
                <w:szCs w:val="18"/>
                <w:highlight w:val="none"/>
              </w:rPr>
              <w:t>人员经费</w:t>
            </w:r>
          </w:p>
        </w:tc>
        <w:tc>
          <w:tcPr>
            <w:tcW w:w="1247" w:type="dxa"/>
            <w:shd w:val="clear" w:color="auto" w:fill="auto"/>
            <w:vAlign w:val="center"/>
          </w:tcPr>
          <w:p>
            <w:pPr>
              <w:jc w:val="center"/>
              <w:rPr>
                <w:sz w:val="18"/>
                <w:szCs w:val="18"/>
                <w:highlight w:val="none"/>
              </w:rPr>
            </w:pPr>
            <w:r>
              <w:rPr>
                <w:rFonts w:hint="eastAsia"/>
                <w:sz w:val="18"/>
                <w:szCs w:val="18"/>
                <w:highlight w:val="none"/>
              </w:rPr>
              <w:t>公用经费</w:t>
            </w:r>
          </w:p>
        </w:tc>
        <w:tc>
          <w:tcPr>
            <w:tcW w:w="124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64" w:hRule="atLeast"/>
          <w:tblHeader/>
        </w:trPr>
        <w:tc>
          <w:tcPr>
            <w:tcW w:w="3402"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247" w:type="dxa"/>
            <w:shd w:val="clear" w:color="auto" w:fill="auto"/>
            <w:vAlign w:val="center"/>
          </w:tcPr>
          <w:p>
            <w:pPr>
              <w:jc w:val="center"/>
              <w:rPr>
                <w:sz w:val="18"/>
                <w:szCs w:val="18"/>
                <w:highlight w:val="none"/>
              </w:rPr>
            </w:pPr>
            <w:r>
              <w:rPr>
                <w:rFonts w:hint="eastAsia"/>
                <w:sz w:val="18"/>
                <w:szCs w:val="18"/>
                <w:highlight w:val="none"/>
              </w:rPr>
              <w:t>1</w:t>
            </w:r>
          </w:p>
        </w:tc>
        <w:tc>
          <w:tcPr>
            <w:tcW w:w="1247" w:type="dxa"/>
            <w:shd w:val="clear" w:color="auto" w:fill="auto"/>
            <w:vAlign w:val="center"/>
          </w:tcPr>
          <w:p>
            <w:pPr>
              <w:jc w:val="center"/>
              <w:rPr>
                <w:sz w:val="18"/>
                <w:szCs w:val="18"/>
                <w:highlight w:val="none"/>
              </w:rPr>
            </w:pPr>
            <w:r>
              <w:rPr>
                <w:rFonts w:hint="eastAsia"/>
                <w:sz w:val="18"/>
                <w:szCs w:val="18"/>
                <w:highlight w:val="none"/>
              </w:rPr>
              <w:t>2</w:t>
            </w:r>
          </w:p>
        </w:tc>
        <w:tc>
          <w:tcPr>
            <w:tcW w:w="1247" w:type="dxa"/>
            <w:shd w:val="clear" w:color="auto" w:fill="auto"/>
            <w:vAlign w:val="center"/>
          </w:tcPr>
          <w:p>
            <w:pPr>
              <w:jc w:val="center"/>
              <w:rPr>
                <w:sz w:val="18"/>
                <w:szCs w:val="18"/>
                <w:highlight w:val="none"/>
              </w:rPr>
            </w:pPr>
            <w:r>
              <w:rPr>
                <w:rFonts w:hint="eastAsia"/>
                <w:sz w:val="18"/>
                <w:szCs w:val="18"/>
                <w:highlight w:val="none"/>
              </w:rPr>
              <w:t>3</w:t>
            </w:r>
          </w:p>
        </w:tc>
        <w:tc>
          <w:tcPr>
            <w:tcW w:w="1247" w:type="dxa"/>
            <w:shd w:val="clear" w:color="auto" w:fill="auto"/>
            <w:vAlign w:val="center"/>
          </w:tcPr>
          <w:p>
            <w:pPr>
              <w:jc w:val="center"/>
              <w:rPr>
                <w:sz w:val="18"/>
                <w:szCs w:val="18"/>
                <w:highlight w:val="none"/>
              </w:rPr>
            </w:pPr>
            <w:r>
              <w:rPr>
                <w:rFonts w:hint="eastAsia"/>
                <w:sz w:val="18"/>
                <w:szCs w:val="18"/>
                <w:highlight w:val="none"/>
              </w:rPr>
              <w:t>4</w:t>
            </w:r>
          </w:p>
        </w:tc>
        <w:tc>
          <w:tcPr>
            <w:tcW w:w="1247" w:type="dxa"/>
            <w:shd w:val="clear" w:color="auto" w:fill="auto"/>
            <w:vAlign w:val="center"/>
          </w:tcPr>
          <w:p>
            <w:pPr>
              <w:jc w:val="center"/>
              <w:rPr>
                <w:sz w:val="18"/>
                <w:szCs w:val="18"/>
                <w:highlight w:val="none"/>
              </w:rPr>
            </w:pPr>
            <w:r>
              <w:rPr>
                <w:rFonts w:hint="eastAsia"/>
                <w:sz w:val="18"/>
                <w:szCs w:val="18"/>
                <w:highlight w:val="none"/>
              </w:rPr>
              <w:t>5</w:t>
            </w:r>
          </w:p>
        </w:tc>
        <w:tc>
          <w:tcPr>
            <w:tcW w:w="1247" w:type="dxa"/>
            <w:gridSpan w:val="2"/>
            <w:shd w:val="clear" w:color="auto" w:fill="auto"/>
            <w:vAlign w:val="center"/>
          </w:tcPr>
          <w:p>
            <w:pPr>
              <w:jc w:val="center"/>
              <w:rPr>
                <w:sz w:val="18"/>
                <w:szCs w:val="18"/>
                <w:highlight w:val="none"/>
              </w:rPr>
            </w:pPr>
            <w:r>
              <w:rPr>
                <w:rFonts w:hint="eastAsia"/>
                <w:sz w:val="18"/>
                <w:szCs w:val="18"/>
                <w:highlight w:val="none"/>
              </w:rPr>
              <w:t>6</w:t>
            </w:r>
          </w:p>
        </w:tc>
        <w:tc>
          <w:tcPr>
            <w:tcW w:w="1247" w:type="dxa"/>
            <w:shd w:val="clear" w:color="auto" w:fill="auto"/>
            <w:vAlign w:val="center"/>
          </w:tcPr>
          <w:p>
            <w:pPr>
              <w:jc w:val="center"/>
              <w:rPr>
                <w:sz w:val="18"/>
                <w:szCs w:val="18"/>
                <w:highlight w:val="none"/>
              </w:rPr>
            </w:pPr>
            <w:r>
              <w:rPr>
                <w:rFonts w:hint="eastAsia"/>
                <w:sz w:val="18"/>
                <w:szCs w:val="18"/>
                <w:highlight w:val="none"/>
              </w:rPr>
              <w:t>7</w:t>
            </w:r>
          </w:p>
        </w:tc>
        <w:tc>
          <w:tcPr>
            <w:tcW w:w="1247" w:type="dxa"/>
            <w:shd w:val="clear" w:color="auto" w:fill="auto"/>
            <w:vAlign w:val="center"/>
          </w:tcPr>
          <w:p>
            <w:pPr>
              <w:jc w:val="center"/>
              <w:rPr>
                <w:sz w:val="18"/>
                <w:szCs w:val="18"/>
                <w:highlight w:val="none"/>
              </w:rPr>
            </w:pPr>
            <w:r>
              <w:rPr>
                <w:rFonts w:hint="eastAsia"/>
                <w:sz w:val="18"/>
                <w:szCs w:val="18"/>
                <w:highlight w:val="none"/>
              </w:rPr>
              <w:t>8</w:t>
            </w:r>
          </w:p>
        </w:tc>
        <w:tc>
          <w:tcPr>
            <w:tcW w:w="1247" w:type="dxa"/>
            <w:shd w:val="clear" w:color="auto" w:fill="auto"/>
            <w:vAlign w:val="center"/>
          </w:tcPr>
          <w:p>
            <w:pPr>
              <w:jc w:val="center"/>
              <w:rPr>
                <w:sz w:val="18"/>
                <w:szCs w:val="18"/>
                <w:highlight w:val="none"/>
              </w:rPr>
            </w:pPr>
            <w:r>
              <w:rPr>
                <w:rFonts w:hint="eastAsia"/>
                <w:sz w:val="18"/>
                <w:szCs w:val="18"/>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center"/>
              <w:rPr>
                <w:b/>
                <w:sz w:val="18"/>
                <w:szCs w:val="18"/>
                <w:highlight w:val="none"/>
              </w:rPr>
            </w:pPr>
            <w:r>
              <w:rPr>
                <w:rFonts w:ascii="宋体" w:hAnsi="宋体"/>
                <w:b/>
                <w:kern w:val="0"/>
                <w:sz w:val="13"/>
                <w:szCs w:val="13"/>
                <w:highlight w:val="none"/>
              </w:rPr>
              <w:t>总计</w:t>
            </w:r>
          </w:p>
        </w:tc>
        <w:tc>
          <w:tcPr>
            <w:tcW w:w="1247"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8.13</w:t>
            </w:r>
          </w:p>
        </w:tc>
        <w:tc>
          <w:tcPr>
            <w:tcW w:w="1247"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8.13</w:t>
            </w: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8.13</w:t>
            </w:r>
          </w:p>
        </w:tc>
        <w:tc>
          <w:tcPr>
            <w:tcW w:w="1247" w:type="dxa"/>
            <w:gridSpan w:val="2"/>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b/>
                <w:sz w:val="18"/>
                <w:szCs w:val="18"/>
                <w:highlight w:val="none"/>
              </w:rPr>
            </w:pPr>
            <w:r>
              <w:rPr>
                <w:rFonts w:ascii="宋体" w:hAnsi="宋体"/>
                <w:b/>
                <w:kern w:val="0"/>
                <w:sz w:val="13"/>
                <w:szCs w:val="13"/>
                <w:highlight w:val="none"/>
              </w:rPr>
              <w:t>皮山县社会保险中心</w:t>
            </w:r>
          </w:p>
        </w:tc>
        <w:tc>
          <w:tcPr>
            <w:tcW w:w="1247"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8.13</w:t>
            </w:r>
          </w:p>
        </w:tc>
        <w:tc>
          <w:tcPr>
            <w:tcW w:w="1247"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8.13</w:t>
            </w: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r>
              <w:rPr>
                <w:rFonts w:ascii="宋体" w:hAnsi="宋体"/>
                <w:b/>
                <w:kern w:val="0"/>
                <w:sz w:val="13"/>
                <w:szCs w:val="13"/>
                <w:highlight w:val="none"/>
              </w:rPr>
              <w:t>8.13</w:t>
            </w:r>
          </w:p>
        </w:tc>
        <w:tc>
          <w:tcPr>
            <w:tcW w:w="1247" w:type="dxa"/>
            <w:gridSpan w:val="2"/>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ascii="宋体" w:hAnsi="宋体"/>
                <w:kern w:val="0"/>
                <w:sz w:val="13"/>
                <w:szCs w:val="13"/>
                <w:highlight w:val="none"/>
              </w:rPr>
              <w:t xml:space="preserve">  2022年自治区财政全民参保登记计划实施项目补助资金</w:t>
            </w:r>
            <w:r>
              <w:rPr>
                <w:rFonts w:hint="eastAsia" w:ascii="宋体" w:hAnsi="宋体"/>
                <w:kern w:val="0"/>
                <w:sz w:val="13"/>
                <w:szCs w:val="13"/>
                <w:highlight w:val="none"/>
                <w:lang w:eastAsia="zh-CN"/>
              </w:rPr>
              <w:t>（和地财</w:t>
            </w:r>
            <w:r>
              <w:rPr>
                <w:rFonts w:ascii="宋体" w:hAnsi="宋体"/>
                <w:kern w:val="0"/>
                <w:sz w:val="13"/>
                <w:szCs w:val="13"/>
                <w:highlight w:val="none"/>
              </w:rPr>
              <w:t>社</w:t>
            </w:r>
            <w:r>
              <w:rPr>
                <w:rFonts w:hint="eastAsia" w:ascii="宋体" w:hAnsi="宋体"/>
                <w:kern w:val="0"/>
                <w:sz w:val="13"/>
                <w:szCs w:val="13"/>
                <w:highlight w:val="none"/>
              </w:rPr>
              <w:t>〔2022〕13</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0.11</w:t>
            </w: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0.11</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0.11</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ascii="宋体" w:hAnsi="宋体"/>
                <w:kern w:val="0"/>
                <w:sz w:val="13"/>
                <w:szCs w:val="13"/>
                <w:highlight w:val="none"/>
              </w:rPr>
              <w:t xml:space="preserve">  2022年为民办实事驻村工作队为民办实事经费</w:t>
            </w:r>
            <w:r>
              <w:rPr>
                <w:rFonts w:hint="eastAsia" w:ascii="宋体" w:hAnsi="宋体"/>
                <w:kern w:val="0"/>
                <w:sz w:val="13"/>
                <w:szCs w:val="13"/>
                <w:highlight w:val="none"/>
                <w:lang w:eastAsia="zh-CN"/>
              </w:rPr>
              <w:t>（和地财</w:t>
            </w:r>
            <w:r>
              <w:rPr>
                <w:rFonts w:ascii="宋体" w:hAnsi="宋体"/>
                <w:kern w:val="0"/>
                <w:sz w:val="13"/>
                <w:szCs w:val="13"/>
                <w:highlight w:val="none"/>
              </w:rPr>
              <w:t>预</w:t>
            </w:r>
            <w:r>
              <w:rPr>
                <w:rFonts w:hint="eastAsia" w:ascii="宋体" w:hAnsi="宋体"/>
                <w:kern w:val="0"/>
                <w:sz w:val="13"/>
                <w:szCs w:val="13"/>
                <w:highlight w:val="none"/>
              </w:rPr>
              <w:t>〔2022〕16</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2.85</w:t>
            </w: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2.85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2.85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ascii="宋体" w:hAnsi="宋体"/>
                <w:kern w:val="0"/>
                <w:sz w:val="13"/>
                <w:szCs w:val="13"/>
                <w:highlight w:val="none"/>
              </w:rPr>
              <w:t xml:space="preserve">  2023年自治区社保经办机构业务经费</w:t>
            </w:r>
            <w:r>
              <w:rPr>
                <w:rFonts w:hint="eastAsia" w:ascii="宋体" w:hAnsi="宋体"/>
                <w:kern w:val="0"/>
                <w:sz w:val="13"/>
                <w:szCs w:val="13"/>
                <w:highlight w:val="none"/>
                <w:lang w:eastAsia="zh-CN"/>
              </w:rPr>
              <w:t>（和地财</w:t>
            </w:r>
            <w:r>
              <w:rPr>
                <w:rFonts w:ascii="宋体" w:hAnsi="宋体"/>
                <w:kern w:val="0"/>
                <w:sz w:val="13"/>
                <w:szCs w:val="13"/>
                <w:highlight w:val="none"/>
              </w:rPr>
              <w:t>社</w:t>
            </w:r>
            <w:r>
              <w:rPr>
                <w:rFonts w:hint="eastAsia" w:ascii="宋体" w:hAnsi="宋体"/>
                <w:kern w:val="0"/>
                <w:sz w:val="13"/>
                <w:szCs w:val="13"/>
                <w:highlight w:val="none"/>
              </w:rPr>
              <w:t>〔2022〕98</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0.16</w:t>
            </w: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0.16</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0.16</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ascii="宋体" w:hAnsi="宋体"/>
                <w:kern w:val="0"/>
                <w:sz w:val="13"/>
                <w:szCs w:val="13"/>
                <w:highlight w:val="none"/>
              </w:rPr>
              <w:t xml:space="preserve">  2023年“为民办实事”驻村工作队为民办实事经费</w:t>
            </w:r>
            <w:r>
              <w:rPr>
                <w:rFonts w:hint="eastAsia" w:ascii="宋体" w:hAnsi="宋体"/>
                <w:kern w:val="0"/>
                <w:sz w:val="13"/>
                <w:szCs w:val="13"/>
                <w:highlight w:val="none"/>
                <w:lang w:eastAsia="zh-CN"/>
              </w:rPr>
              <w:t>（和地财</w:t>
            </w:r>
            <w:r>
              <w:rPr>
                <w:rFonts w:ascii="宋体" w:hAnsi="宋体"/>
                <w:kern w:val="0"/>
                <w:sz w:val="13"/>
                <w:szCs w:val="13"/>
                <w:highlight w:val="none"/>
              </w:rPr>
              <w:t>预</w:t>
            </w:r>
            <w:r>
              <w:rPr>
                <w:rFonts w:hint="eastAsia" w:ascii="宋体" w:hAnsi="宋体"/>
                <w:kern w:val="0"/>
                <w:sz w:val="13"/>
                <w:szCs w:val="13"/>
                <w:highlight w:val="none"/>
              </w:rPr>
              <w:t>〔2023〕16</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5.00</w:t>
            </w: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5.00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ascii="宋体" w:hAnsi="宋体"/>
                <w:kern w:val="0"/>
                <w:sz w:val="13"/>
                <w:szCs w:val="13"/>
                <w:highlight w:val="none"/>
              </w:rPr>
              <w:t>5.00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bl>
    <w:p>
      <w:pPr>
        <w:widowControl/>
        <w:jc w:val="left"/>
        <w:rPr>
          <w:rFonts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pStyle w:val="2"/>
        <w:spacing w:before="156" w:beforeLines="50" w:after="156" w:afterLines="50" w:line="240" w:lineRule="atLeast"/>
        <w:jc w:val="center"/>
        <w:rPr>
          <w:rFonts w:ascii="黑体" w:eastAsia="黑体"/>
          <w:sz w:val="30"/>
          <w:szCs w:val="30"/>
          <w:highlight w:val="none"/>
        </w:rPr>
      </w:pPr>
      <w:r>
        <w:rPr>
          <w:rFonts w:hint="eastAsia" w:ascii="黑体" w:eastAsia="黑体"/>
          <w:sz w:val="30"/>
          <w:szCs w:val="30"/>
          <w:highlight w:val="none"/>
        </w:rPr>
        <w:t>第三部分 2025年部门预算情况说明</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关于皮山县社会保险服务中心2025年收支预算情况总体说明</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按照全口径预算的原则，皮山县社会保险服务中心2025年所有收入和支出均纳入部门预算管理。收支总预算1,462.69万元。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收入预算包括：一般公共预算、单位资金、财政拨款结转结余。</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支出预算包括：社会保障和就业支出、卫生健康支出、住房保障支出、其他支出。</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关于皮山县社会保险服务中心2025年收入预算情况说明</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皮山县社会保险服务中心部门收入预算1,462.69万元，其中：</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一般公共预算1,401.06万元，占95.79%，比上年预算增加49.79万元，增长3.68%，主要原因是2025年比2024年度多安排县级配套企业职工退休人员补助资金。</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上级一般公共预算安排的转移支付资金3.50万元，占0.24%，比上年预算减少4,375.50万元，下降99.92%，主要原因是2024年上级一般公共预算项目到位资金纳入年初预算，2025年文件未下达没纳入预算。</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政府性基金预算未安排。</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上级政府性基金安排的转移支付资金未安排。</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国有资本经营预算未安排。</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上级国有资本经营预算安排的转移支付资金未安排。</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单位资金50.00万元，占3.42%，比上年预算增加50.00万元，增长100.00%，主要原因是往年单位资金未纳入年初预算，2025年单位资金纳入年初预算，导致比去年增加。</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财政拨款结转8.13万元，占0.56%，比上年预算减少0.93万元，下降10.26%，主要原因是2024年财政拨款项目大部分已支付完毕，导致比上年预算减少。</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关于皮山县社会保险服务中心2025年支出预算情况说明</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皮山县社会保险服务中心2025年支出预算1,462.69万元，其中：</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基本支出350.46万元，占23.96%，比上年预算减少0.81万元，下降0.23%，主要原因是2024年</w:t>
      </w: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rPr>
        <w:t>人员</w:t>
      </w:r>
      <w:r>
        <w:rPr>
          <w:rFonts w:hint="eastAsia" w:ascii="仿宋" w:hAnsi="微软雅黑" w:eastAsia="仿宋"/>
          <w:sz w:val="28"/>
          <w:szCs w:val="28"/>
          <w:highlight w:val="none"/>
          <w:lang w:val="en-US" w:eastAsia="zh-CN"/>
        </w:rPr>
        <w:t>减少2人，</w:t>
      </w:r>
      <w:r>
        <w:rPr>
          <w:rFonts w:hint="eastAsia" w:ascii="仿宋" w:hAnsi="微软雅黑" w:eastAsia="仿宋"/>
          <w:sz w:val="28"/>
          <w:szCs w:val="28"/>
          <w:highlight w:val="none"/>
        </w:rPr>
        <w:t>导致</w:t>
      </w:r>
      <w:r>
        <w:rPr>
          <w:rFonts w:hint="eastAsia" w:ascii="仿宋" w:hAnsi="微软雅黑" w:eastAsia="仿宋"/>
          <w:sz w:val="28"/>
          <w:szCs w:val="28"/>
          <w:highlight w:val="none"/>
          <w:lang w:val="en-US" w:eastAsia="zh-CN"/>
        </w:rPr>
        <w:t>2025年预算</w:t>
      </w:r>
      <w:r>
        <w:rPr>
          <w:rFonts w:hint="eastAsia" w:ascii="仿宋" w:hAnsi="微软雅黑" w:eastAsia="仿宋"/>
          <w:sz w:val="28"/>
          <w:szCs w:val="28"/>
          <w:highlight w:val="none"/>
        </w:rPr>
        <w:t>比上年减少。</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项目支出1,112.24万元，占76.04%，比上年预算减少4,275.82万元，下降79.36%，主要原因是2024年城乡居民基本养老保险上级补助已纳入年初预算，2025年文件未下达，未纳入年初预算导致比上年预算减少。</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关于皮山县社会保险服务中心2025年财政拨款收支预算情况的总体说明</w:t>
      </w:r>
    </w:p>
    <w:p>
      <w:pPr>
        <w:widowControl/>
        <w:spacing w:before="156" w:beforeLines="50" w:after="156" w:afterLines="50"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2025年财政拨款收支总预算1,404.56万元。</w:t>
      </w:r>
    </w:p>
    <w:p>
      <w:pPr>
        <w:widowControl/>
        <w:spacing w:before="156" w:beforeLines="50" w:after="156" w:afterLines="50"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收入全部为一般公共预算拨款，无政府性基金预算拨款和国有资本经营预算。</w:t>
      </w:r>
    </w:p>
    <w:p>
      <w:pPr>
        <w:widowControl/>
        <w:spacing w:before="156" w:beforeLines="50" w:after="156" w:afterLines="50"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收入预算包括：一般公共预算拨款1,404.56万元。</w:t>
      </w:r>
    </w:p>
    <w:p>
      <w:pPr>
        <w:widowControl/>
        <w:spacing w:before="156" w:beforeLines="50" w:after="156" w:afterLines="50"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一般公共预算支出包括：社会保障和就业支出1,357.72万元，主要用于工资福利支出，公用经费，对个人和家庭的补助，财政对城乡居民基本养老保险基金的补助，财政对企业职工基本养老保险基金的补助；卫生健康支出24.24万元，主要用于事业单位医疗，公务员医疗补助；住房保障支出22.60万元，主要用于单位职工住房公积金。</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关于皮山县社会保险服务中心2025年一般公共预算当年拨款情况说明</w:t>
      </w:r>
    </w:p>
    <w:p>
      <w:pPr>
        <w:widowControl/>
        <w:spacing w:line="560" w:lineRule="exact"/>
        <w:ind w:firstLine="560" w:firstLineChars="200"/>
        <w:rPr>
          <w:rFonts w:hint="eastAsia" w:ascii="仿宋" w:hAnsi="微软雅黑" w:eastAsia="仿宋"/>
          <w:b/>
          <w:sz w:val="28"/>
          <w:szCs w:val="28"/>
          <w:highlight w:val="none"/>
        </w:rPr>
      </w:pPr>
      <w:r>
        <w:rPr>
          <w:rFonts w:hint="eastAsia" w:ascii="仿宋" w:hAnsi="微软雅黑" w:eastAsia="仿宋"/>
          <w:b/>
          <w:sz w:val="28"/>
          <w:szCs w:val="28"/>
          <w:highlight w:val="none"/>
        </w:rPr>
        <w:t>（一）一般公共预算当年拨款规模变化情况</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皮山县社会保险服务中心2025年一般公共预算拨款合计1,404.56万元，其中：</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基本支出350.46万元，比上年预算减少0.81万元，下降0.23%，主要原因是2024年</w:t>
      </w: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rPr>
        <w:t>人员</w:t>
      </w:r>
      <w:r>
        <w:rPr>
          <w:rFonts w:hint="eastAsia" w:ascii="仿宋" w:hAnsi="微软雅黑" w:eastAsia="仿宋"/>
          <w:sz w:val="28"/>
          <w:szCs w:val="28"/>
          <w:highlight w:val="none"/>
          <w:lang w:val="en-US" w:eastAsia="zh-CN"/>
        </w:rPr>
        <w:t>减少2人，</w:t>
      </w:r>
      <w:r>
        <w:rPr>
          <w:rFonts w:hint="eastAsia" w:ascii="仿宋" w:hAnsi="微软雅黑" w:eastAsia="仿宋"/>
          <w:sz w:val="28"/>
          <w:szCs w:val="28"/>
          <w:highlight w:val="none"/>
        </w:rPr>
        <w:t>导致</w:t>
      </w:r>
      <w:r>
        <w:rPr>
          <w:rFonts w:hint="eastAsia" w:ascii="仿宋" w:hAnsi="微软雅黑" w:eastAsia="仿宋"/>
          <w:sz w:val="28"/>
          <w:szCs w:val="28"/>
          <w:highlight w:val="none"/>
          <w:lang w:val="en-US" w:eastAsia="zh-CN"/>
        </w:rPr>
        <w:t>2025年预算</w:t>
      </w:r>
      <w:r>
        <w:rPr>
          <w:rFonts w:hint="eastAsia" w:ascii="仿宋" w:hAnsi="微软雅黑" w:eastAsia="仿宋"/>
          <w:sz w:val="28"/>
          <w:szCs w:val="28"/>
          <w:highlight w:val="none"/>
        </w:rPr>
        <w:t>比上年减少。</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项目支出1,054.11万元，比上年预算减少4,324.89万元，下降80.40%，主要原因是2025年城乡居民基本养老保险上级补助文件未下达未纳入年初预算。</w:t>
      </w:r>
    </w:p>
    <w:p>
      <w:pPr>
        <w:widowControl/>
        <w:spacing w:line="560" w:lineRule="exact"/>
        <w:ind w:firstLine="560" w:firstLineChars="200"/>
        <w:rPr>
          <w:rFonts w:hint="eastAsia" w:ascii="仿宋" w:hAnsi="微软雅黑" w:eastAsia="仿宋"/>
          <w:b/>
          <w:sz w:val="28"/>
          <w:szCs w:val="28"/>
          <w:highlight w:val="none"/>
        </w:rPr>
      </w:pPr>
      <w:r>
        <w:rPr>
          <w:rFonts w:hint="eastAsia" w:ascii="仿宋" w:hAnsi="微软雅黑" w:eastAsia="仿宋"/>
          <w:b/>
          <w:sz w:val="28"/>
          <w:szCs w:val="28"/>
          <w:highlight w:val="none"/>
        </w:rPr>
        <w:t>（二）一般公共预算当年拨款结构情况</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1、社会保障和就业支出（类）1,357.72万元，占96.67%。</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2、卫生健康支出（类）24.24万元，占1.73%。</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3、住房保障支出（类）22.60万元，占1.61%。</w:t>
      </w:r>
    </w:p>
    <w:p>
      <w:pPr>
        <w:widowControl/>
        <w:spacing w:line="560" w:lineRule="exact"/>
        <w:ind w:firstLine="560" w:firstLineChars="200"/>
        <w:rPr>
          <w:rFonts w:hint="eastAsia" w:ascii="仿宋" w:hAnsi="微软雅黑" w:eastAsia="仿宋"/>
          <w:b/>
          <w:sz w:val="28"/>
          <w:szCs w:val="28"/>
          <w:highlight w:val="none"/>
        </w:rPr>
      </w:pPr>
      <w:r>
        <w:rPr>
          <w:rFonts w:hint="eastAsia" w:ascii="仿宋" w:hAnsi="微软雅黑" w:eastAsia="仿宋"/>
          <w:b/>
          <w:sz w:val="28"/>
          <w:szCs w:val="28"/>
          <w:highlight w:val="none"/>
        </w:rPr>
        <w:t>（三）一般公共预算当年拨款具体使用情况</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1、社会保障和就业支出（类）人力资源和社会保障管理事务（款）行政运行（项）：2025年预算数为227.60万元，比上年预算减少20.00万元，下降8.08%，主要原因是2024年</w:t>
      </w: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rPr>
        <w:t>人员</w:t>
      </w:r>
      <w:r>
        <w:rPr>
          <w:rFonts w:hint="eastAsia" w:ascii="仿宋" w:hAnsi="微软雅黑" w:eastAsia="仿宋"/>
          <w:sz w:val="28"/>
          <w:szCs w:val="28"/>
          <w:highlight w:val="none"/>
          <w:lang w:val="en-US" w:eastAsia="zh-CN"/>
        </w:rPr>
        <w:t>减少2人，</w:t>
      </w:r>
      <w:r>
        <w:rPr>
          <w:rFonts w:hint="eastAsia" w:ascii="仿宋" w:hAnsi="微软雅黑" w:eastAsia="仿宋"/>
          <w:sz w:val="28"/>
          <w:szCs w:val="28"/>
          <w:highlight w:val="none"/>
        </w:rPr>
        <w:t>导致</w:t>
      </w:r>
      <w:r>
        <w:rPr>
          <w:rFonts w:hint="eastAsia" w:ascii="仿宋" w:hAnsi="微软雅黑" w:eastAsia="仿宋"/>
          <w:sz w:val="28"/>
          <w:szCs w:val="28"/>
          <w:highlight w:val="none"/>
          <w:lang w:val="en-US" w:eastAsia="zh-CN"/>
        </w:rPr>
        <w:t>2025年预算</w:t>
      </w:r>
      <w:r>
        <w:rPr>
          <w:rFonts w:hint="eastAsia" w:ascii="仿宋" w:hAnsi="微软雅黑" w:eastAsia="仿宋"/>
          <w:sz w:val="28"/>
          <w:szCs w:val="28"/>
          <w:highlight w:val="none"/>
        </w:rPr>
        <w:t>比上年减少。</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社会保障和就业支出（类）人力资源和社会保障管理事务（款）社会保险经办机构（项）：2025年预算数为3.50万元，比上年预算增加1.50万元，增长75.00%，主要原因是社会保险经办机构专项是地区下达文件，按文件要求来进行支付资金，2024年文件分配资金金额为2万元，2025年文件分配资金金额为3.5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3、社会保障和就业支出（类）行政事业单位养老支出（款）事业单位离退休（项）：2025年预算数为20.88万元，比上年预算减少8.68万元，下降29.36%，主要原因是2024年</w:t>
      </w:r>
      <w:r>
        <w:rPr>
          <w:rFonts w:hint="eastAsia" w:ascii="仿宋" w:hAnsi="微软雅黑" w:eastAsia="仿宋"/>
          <w:sz w:val="28"/>
          <w:szCs w:val="28"/>
          <w:highlight w:val="none"/>
          <w:lang w:val="en-US" w:eastAsia="zh-CN"/>
        </w:rPr>
        <w:t>开始</w:t>
      </w: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rPr>
        <w:t>退休人员医疗保险资金</w:t>
      </w:r>
      <w:r>
        <w:rPr>
          <w:rFonts w:hint="eastAsia" w:ascii="仿宋" w:hAnsi="微软雅黑" w:eastAsia="仿宋"/>
          <w:sz w:val="28"/>
          <w:szCs w:val="28"/>
          <w:highlight w:val="none"/>
          <w:lang w:val="en-US" w:eastAsia="zh-CN"/>
        </w:rPr>
        <w:t>单位部分不再缴纳。</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4、社会保障和就业支出（类）行政事业单位养老支出（款）机关事业单位基本养老保险缴费支出（项）：2025年预算数为30.13万元，比上年预算减少0.79万元，下降2.55%，主要原因是本年度退休人员医疗保险和大病救助统一调到医保局进行缴纳。</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5、社会保障和就业支出（类）行政事业单位养老支出（款）机关事业单位职业年金缴费支出（项）：2025年预算数为25.00万元，比上年预算增加17.00万元，增长212.50%，主要原因是做2025年年初预算时预计</w:t>
      </w:r>
      <w:r>
        <w:rPr>
          <w:rFonts w:hint="eastAsia" w:ascii="仿宋" w:hAnsi="微软雅黑" w:eastAsia="仿宋"/>
          <w:sz w:val="28"/>
          <w:szCs w:val="28"/>
          <w:highlight w:val="none"/>
          <w:lang w:val="en-US" w:eastAsia="zh-CN"/>
        </w:rPr>
        <w:t>有</w:t>
      </w:r>
      <w:r>
        <w:rPr>
          <w:rFonts w:hint="eastAsia" w:ascii="仿宋" w:hAnsi="微软雅黑" w:eastAsia="仿宋"/>
          <w:sz w:val="28"/>
          <w:szCs w:val="28"/>
          <w:highlight w:val="none"/>
        </w:rPr>
        <w:t>退休人员</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职业年金资金</w:t>
      </w:r>
      <w:r>
        <w:rPr>
          <w:rFonts w:hint="eastAsia" w:ascii="仿宋" w:hAnsi="微软雅黑" w:eastAsia="仿宋"/>
          <w:sz w:val="28"/>
          <w:szCs w:val="28"/>
          <w:highlight w:val="none"/>
          <w:lang w:val="en-US" w:eastAsia="zh-CN"/>
        </w:rPr>
        <w:t>需做实</w:t>
      </w:r>
      <w:r>
        <w:rPr>
          <w:rFonts w:hint="eastAsia" w:ascii="仿宋" w:hAnsi="微软雅黑" w:eastAsia="仿宋"/>
          <w:sz w:val="28"/>
          <w:szCs w:val="28"/>
          <w:highlight w:val="none"/>
        </w:rPr>
        <w:t>，导致2025年预算增加。</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6、社会保障和就业支出（类）财政对基本养老保险基金的补助（款）财政对企业职工基本养老保险基金的补助（项）：2025年预算数为52.50万元，比上年预算增加52.50万元，增长100.00%，主要原因是财政对企业职工基本养老保险基金的补助2024年年底才下达新文件所以未纳入年初预算，2025年已纳入年初预算。</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7、社会保障和就业支出（类）财政对基本养老保险基金的补助（款）财政对城乡居民基本养老保险基金的补助（项）：2025年预算数为998.11万元，比上年预算减少4,378.89万元，下降81.44%，主要原因是2025年</w:t>
      </w: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rPr>
        <w:t>城乡居民基本养老保险上级补助未下达文件未纳入年初预算。</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8、卫生健康支出（类）行政事业单位医疗（款）事业单位医疗（项）：2025年预算数为12.24万元，比上年预算增加12.24万元，增长100.00%，主要原因是2024年</w:t>
      </w: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rPr>
        <w:t>事业单位医疗科目未纳入年初预算，2025年已纳入年初预算。</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9、卫生健康支出（类）行政事业单位医疗（款）公务员医疗补助（项）：2025年预算数为12.00万元，比上年预算增加0.00万元，增长0.00%，主要原因是2024年和2025年</w:t>
      </w: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rPr>
        <w:t>公务员医疗补助金额未进行调整。</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10、住房保障支出（类）住房改革支出（款）住房公积金（项）：2025年预算数为22.60万元，比上年预算减少0.59万元，下降2.54%，主要原因是2024年</w:t>
      </w: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rPr>
        <w:t>人员</w:t>
      </w:r>
      <w:r>
        <w:rPr>
          <w:rFonts w:hint="eastAsia" w:ascii="仿宋" w:hAnsi="微软雅黑" w:eastAsia="仿宋"/>
          <w:sz w:val="28"/>
          <w:szCs w:val="28"/>
          <w:highlight w:val="none"/>
          <w:lang w:val="en-US" w:eastAsia="zh-CN"/>
        </w:rPr>
        <w:t>减少2人</w:t>
      </w:r>
      <w:r>
        <w:rPr>
          <w:rFonts w:hint="eastAsia" w:ascii="仿宋" w:hAnsi="微软雅黑" w:eastAsia="仿宋"/>
          <w:sz w:val="28"/>
          <w:szCs w:val="28"/>
          <w:highlight w:val="none"/>
        </w:rPr>
        <w:t>，导致2025年预算数减少。</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关于皮山县社会保险服务中心2025年一般公共预算基本支出情况说明</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皮山县社会保险服务中心2025年一般公共预算基本支出350.46万元，其中：</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人员经费344.46万元，主要包括：基本工资、津贴补贴、奖金、机关事业单位基本养老保险缴费、职业年金缴费、职工基本医疗保险缴费、公务员医疗补助缴费、其他社会保障缴费、住房公积金、退休费。</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公用经费6.00万元，主要包括：办公费。</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关于皮山县社会保险服务中心2025年一般公共预算项目支出情况说明</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（一）项目名称：2025年保基本民生县配套资金—企业职工养老保险县级配套资金</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设立的政策依据：2024年企业职工基本养老保险地方财政补助资金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新财社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2024</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26</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预算安排规模：52.50万元</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项目承担单位：皮山县社会保险中心</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资金分配情况：企业职工退休人员1245人，标准35元/人/月。</w:t>
      </w:r>
    </w:p>
    <w:p>
      <w:pPr>
        <w:widowControl/>
        <w:spacing w:line="560" w:lineRule="exact"/>
        <w:ind w:firstLine="560" w:firstLineChars="200"/>
        <w:rPr>
          <w:rFonts w:hint="default" w:ascii="仿宋" w:hAnsi="微软雅黑" w:eastAsia="仿宋"/>
          <w:sz w:val="28"/>
          <w:szCs w:val="28"/>
          <w:highlight w:val="none"/>
          <w:lang w:val="en-US" w:eastAsia="zh-CN"/>
        </w:rPr>
      </w:pPr>
      <w:r>
        <w:rPr>
          <w:rFonts w:hint="eastAsia" w:ascii="仿宋" w:hAnsi="微软雅黑" w:eastAsia="仿宋"/>
          <w:sz w:val="28"/>
          <w:szCs w:val="28"/>
          <w:highlight w:val="none"/>
        </w:rPr>
        <w:t>资金执行时间：2025年1月1日</w:t>
      </w:r>
      <w:r>
        <w:rPr>
          <w:rFonts w:hint="eastAsia" w:ascii="仿宋" w:hAnsi="微软雅黑" w:eastAsia="仿宋"/>
          <w:sz w:val="28"/>
          <w:szCs w:val="28"/>
          <w:highlight w:val="none"/>
          <w:lang w:val="en-US" w:eastAsia="zh-CN"/>
        </w:rPr>
        <w:t>-2025年12月31日。</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资金来源：企业退休人员基本养老金95%自治区承担，5%县财政承担的县级配套资金。</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补贴人数：1245人。</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补贴标准：35元/人。</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补贴范围：企业退休人员。</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补贴方式：通过全程电子化系统汇入领待人的银行卡</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发放程序：做应付核定，支付计划，通过全程电子化系统汇入领待人的银行卡。</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受益人群和社会效益：领取企业养老保险待遇的退休人员，提高退休人员的待遇水平，切实将社保政策红利转化为人民群众实实在在的获得感、幸福感、安全感，为保障和改善民生、促进社会和谐稳定作出贡献。</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（二）项目名称：2025年保基本民生县配套资金—城乡居民基本养老保险县级配套资金</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设立的政策依据：根据</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和地人社函</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2021</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04</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文件要求纳入年初预算</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预算安排规模：998.11万元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项目承担单位：皮山县社会保险中心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资金分配情况：根据文件要求分配。</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资金执行时间：2025年1月1日</w:t>
      </w:r>
      <w:r>
        <w:rPr>
          <w:rFonts w:hint="eastAsia" w:ascii="仿宋" w:hAnsi="微软雅黑" w:eastAsia="仿宋"/>
          <w:sz w:val="28"/>
          <w:szCs w:val="28"/>
          <w:highlight w:val="none"/>
          <w:lang w:val="en-US" w:eastAsia="zh-CN"/>
        </w:rPr>
        <w:t>-2025年12月31日</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资金来源：县级配套资金。</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补贴人数：代缴人数1560人（重度残疾人1460人，五保户100人），低保对象17000人，困难群体18560人，个人缴费档次122802人，领取基础养老金人数24396人，死亡人员3000人。</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补贴标准：代缴标准：重度残疾人，五保户标准100元/人/年，低保对象标准30元/人/年，困难群体标准30元/人/年，个人缴费档次标准5元-220元/人/月，领取基础养老金标准18元/人/月，死亡丧葬费标准852元/人/年。</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补贴范围：参保人员。</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补贴方式：通过全程电子化系统汇入领待人的银行卡</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发放程序：做应付核定，支付计划，通过全程电子化系统汇入领待人的银行卡。</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受益人群和社会效益：领取企业养老保险待遇的退休人员，提高退休人员的待遇水平，切实将社保政策红利转化为人民群众实实在在的获得感、幸福感、安全感，为保障和改善民生、促进社会和谐稳定作出贡献。</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（三）项目名称：2025年自治区财政社保经办机构业务补助经费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社〔2024〕99</w:t>
      </w:r>
      <w:r>
        <w:rPr>
          <w:rFonts w:hint="eastAsia" w:ascii="仿宋" w:hAnsi="微软雅黑" w:eastAsia="仿宋"/>
          <w:sz w:val="28"/>
          <w:szCs w:val="28"/>
          <w:highlight w:val="none"/>
          <w:lang w:eastAsia="zh-CN"/>
        </w:rPr>
        <w:t>号）</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设立的政策依据：根据</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社〔2024〕99</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文件要求已纳入预算。</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预算安排规模：3.50万元</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项目承担单位：皮山县社会保险中心</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资金分配情况：2025年全民参保登记实施费2万元，扩面项目1.5万元，合计3.5万元。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资金执行时间：2025年1月1日</w:t>
      </w:r>
      <w:r>
        <w:rPr>
          <w:rFonts w:hint="eastAsia" w:ascii="仿宋" w:hAnsi="微软雅黑" w:eastAsia="仿宋"/>
          <w:sz w:val="28"/>
          <w:szCs w:val="28"/>
          <w:highlight w:val="none"/>
          <w:lang w:val="en-US" w:eastAsia="zh-CN"/>
        </w:rPr>
        <w:t>-2025年12月31日。</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关于皮山县社会保险服务中心2025年政府性基金预算拨款情况说明</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皮山县社会保险服务中心2025年没有使用政府性基金预算拨款安排的支出，政府性基金预算支出情况表为空表。</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关于皮山县社会保险服务中心2025年国有资本经营预算拨款情况说明</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皮山县社会保险服务中心2025年没有使用国有资本经营预算拨款安排的支出，国有资本经营预算支出情况表为空表。</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关于皮山县社会保险服务中心2025年财政拨款“三公”经费预算情况说明</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皮山县社会保险服务中心2025年财政拨款“三公”经费数为0.00万元，其中：因公出国（境）费0.00万元，公务用车购置费0.00万元，公务用车运行费0.00万元，公务接待费0.00万元。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2025年财政拨款“三公”经费预算比上年预算增加0.00万元，增长0.00%，其中：因公出国（境）费增加0.00万元，增长0.00%，主要原因是2024年与2025年均未安排因公出国（境）费用；公务用车购置费增加0.00万元，增长0.00%，主要原因是2024年与2025年均未安排公务用车购置；公务用车运行费增加0.00万元，增长0.00%，主要原因是2024年与2025年均未安排公务用车运行维护费；公务接待费增加0.00万元，增长0.00%，主要原因是2024年与2025年均未安排公务接待费。</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关于皮山县社会保险服务中心2025年上年结转结余预算情况说明</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皮山县社会保险服务中心2025年上年结转结余8.13万元，包括：财政拨款8.13万元，非财政拨款0.00万元，其中：</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1．2022年为民办实事驻村工作队为民办实事经费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预</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2022</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16</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2.85万元，主要用于：为民办实事，村级组织工作经费。</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2．2022年自治区财政全民参保登记计划实施项目补助资金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2022</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13</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0.11万元，主要用于：社保系统范围内的工作经费，差旅费。</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3．2023年“为民办实事”驻村工作队为民办实事经费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预</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2023</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16</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5.00万元，主要用于：为民办实事，村级组织工作经费。</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4．2023年自治区社保经办机构业务经费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2022</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98</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0.16万元，主要用于：社保系统范围内的工作经费，差旅费，宣传费等。</w:t>
      </w:r>
    </w:p>
    <w:p>
      <w:pPr>
        <w:pStyle w:val="3"/>
        <w:numPr>
          <w:ilvl w:val="0"/>
          <w:numId w:val="2"/>
        </w:numPr>
        <w:spacing w:before="0" w:after="0" w:line="560" w:lineRule="exact"/>
        <w:ind w:left="0" w:firstLine="562" w:firstLineChars="201"/>
        <w:rPr>
          <w:rFonts w:hint="eastAsia" w:ascii="仿宋" w:hAnsi="华文楷体" w:eastAsia="仿宋"/>
          <w:sz w:val="28"/>
          <w:szCs w:val="28"/>
          <w:highlight w:val="none"/>
        </w:rPr>
      </w:pPr>
      <w:r>
        <w:rPr>
          <w:rFonts w:hint="eastAsia" w:ascii="仿宋" w:hAnsi="华文楷体" w:eastAsia="仿宋"/>
          <w:sz w:val="28"/>
          <w:szCs w:val="28"/>
          <w:highlight w:val="none"/>
        </w:rPr>
        <w:t>其他重要事项的情况说明</w:t>
      </w:r>
    </w:p>
    <w:p>
      <w:pPr>
        <w:pStyle w:val="4"/>
        <w:numPr>
          <w:ilvl w:val="0"/>
          <w:numId w:val="3"/>
        </w:numPr>
        <w:spacing w:before="0" w:after="0" w:line="560" w:lineRule="exact"/>
        <w:ind w:left="0" w:firstLine="562" w:firstLineChars="201"/>
        <w:rPr>
          <w:rFonts w:ascii="楷体" w:eastAsia="楷体"/>
          <w:sz w:val="28"/>
          <w:szCs w:val="28"/>
          <w:highlight w:val="none"/>
        </w:rPr>
      </w:pPr>
      <w:r>
        <w:rPr>
          <w:rFonts w:hint="eastAsia" w:ascii="楷体" w:eastAsia="楷体"/>
          <w:sz w:val="28"/>
          <w:szCs w:val="28"/>
          <w:highlight w:val="none"/>
        </w:rPr>
        <w:t>单位运行经费情况</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皮山县社会保险服务中心2025年的事业单位运行经费财政拨款预算6.00万元，比上年预算减少0.40万元，下降6.25%，主要原因是2025年</w:t>
      </w: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rPr>
        <w:t>工作人员</w:t>
      </w:r>
      <w:r>
        <w:rPr>
          <w:rFonts w:hint="eastAsia" w:ascii="仿宋" w:hAnsi="微软雅黑" w:eastAsia="仿宋"/>
          <w:sz w:val="28"/>
          <w:szCs w:val="28"/>
          <w:highlight w:val="none"/>
          <w:lang w:val="en-US" w:eastAsia="zh-CN"/>
        </w:rPr>
        <w:t>减少2人</w:t>
      </w:r>
      <w:r>
        <w:rPr>
          <w:rFonts w:hint="eastAsia" w:ascii="仿宋" w:hAnsi="微软雅黑" w:eastAsia="仿宋"/>
          <w:sz w:val="28"/>
          <w:szCs w:val="28"/>
          <w:highlight w:val="none"/>
        </w:rPr>
        <w:t>。</w:t>
      </w:r>
    </w:p>
    <w:p>
      <w:pPr>
        <w:pStyle w:val="4"/>
        <w:numPr>
          <w:ilvl w:val="0"/>
          <w:numId w:val="3"/>
        </w:numPr>
        <w:spacing w:before="0" w:after="0" w:line="560" w:lineRule="exact"/>
        <w:ind w:left="0" w:firstLine="562" w:firstLineChars="201"/>
        <w:rPr>
          <w:rFonts w:ascii="楷体" w:eastAsia="楷体"/>
          <w:sz w:val="28"/>
          <w:szCs w:val="28"/>
          <w:highlight w:val="none"/>
        </w:rPr>
      </w:pPr>
      <w:r>
        <w:rPr>
          <w:rFonts w:hint="eastAsia" w:ascii="楷体" w:eastAsia="楷体"/>
          <w:sz w:val="28"/>
          <w:szCs w:val="28"/>
          <w:highlight w:val="none"/>
        </w:rPr>
        <w:t>政府采购情况</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2025年，皮山县社会保险服务中心政府采购预算8.50万元，其中：政府采购货物预算5.50万元，政府采购工程预算0.00万元，政府采购服务预算3.00万元。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2025年，皮山县社会保险服务中心面向中小企业预留政府采购项目预算金额8.50万元，小微企业预留政府采购项目预算金额8.50万元。</w:t>
      </w:r>
    </w:p>
    <w:p>
      <w:pPr>
        <w:pStyle w:val="4"/>
        <w:numPr>
          <w:ilvl w:val="0"/>
          <w:numId w:val="3"/>
        </w:numPr>
        <w:spacing w:before="0" w:after="0" w:line="560" w:lineRule="exact"/>
        <w:ind w:left="0" w:firstLine="562" w:firstLineChars="201"/>
        <w:rPr>
          <w:rFonts w:ascii="楷体" w:eastAsia="楷体"/>
          <w:sz w:val="28"/>
          <w:szCs w:val="28"/>
          <w:highlight w:val="none"/>
        </w:rPr>
      </w:pPr>
      <w:r>
        <w:rPr>
          <w:rFonts w:ascii="楷体" w:eastAsia="楷体"/>
          <w:sz w:val="28"/>
          <w:szCs w:val="28"/>
          <w:highlight w:val="none"/>
        </w:rPr>
        <w:t>国有资产占用使用情况</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截至2024年底，皮山县社会保险服务中心占用使用国有资产总体情况为：</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1.房屋0.00平方米，价值0.00万元。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2.车辆0辆，价值0.00万元；其中：一般公务用车0辆，价值0.00万元；执法执勤用车0辆，价值0.00万元；其他车辆0辆，价值0.00万元。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3.办公家具价值0.00万元。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4.其他资产价值0.00万元。</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部门价值50万元以上大型设备0台，部门价值100万元以上大型设备0台。</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2025年部门预算未安排购置车辆经费，安排购置50万元以上大型设备0台，单位价值100万元以上大型设备0台。</w:t>
      </w:r>
    </w:p>
    <w:p>
      <w:pPr>
        <w:pStyle w:val="4"/>
        <w:numPr>
          <w:ilvl w:val="0"/>
          <w:numId w:val="3"/>
        </w:numPr>
        <w:spacing w:before="0" w:after="0" w:line="560" w:lineRule="exact"/>
        <w:ind w:left="0" w:firstLine="562" w:firstLineChars="201"/>
        <w:rPr>
          <w:rFonts w:ascii="楷体" w:eastAsia="楷体"/>
          <w:sz w:val="28"/>
          <w:szCs w:val="28"/>
          <w:highlight w:val="none"/>
        </w:rPr>
      </w:pPr>
      <w:r>
        <w:rPr>
          <w:rFonts w:ascii="楷体" w:eastAsia="楷体"/>
          <w:sz w:val="28"/>
          <w:szCs w:val="28"/>
          <w:highlight w:val="none"/>
        </w:rPr>
        <w:t>预算绩效情况</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2025年，本部门预算绩效管理整体预算绩效目标1个，涉及预算金额1,462.69万元；当年预算安排项目共4个，其中：财政拨款项目涉及预算金额1,054.11万元；非财政拨款项目涉及预算金额50.00万元。具体情况见下表：</w:t>
      </w:r>
    </w:p>
    <w:p>
      <w:pPr>
        <w:spacing w:line="560" w:lineRule="exact"/>
        <w:jc w:val="center"/>
        <w:rPr>
          <w:rFonts w:ascii="仿宋" w:eastAsia="仿宋"/>
          <w:b/>
          <w:sz w:val="28"/>
          <w:szCs w:val="28"/>
          <w:highlight w:val="none"/>
        </w:rPr>
      </w:pPr>
      <w:r>
        <w:rPr>
          <w:b/>
          <w:sz w:val="44"/>
          <w:szCs w:val="44"/>
          <w:highlight w:val="none"/>
        </w:rPr>
        <w:br w:type="page"/>
      </w:r>
      <w:r>
        <w:rPr>
          <w:rFonts w:hint="eastAsia" w:ascii="仿宋" w:eastAsia="仿宋"/>
          <w:b/>
          <w:sz w:val="28"/>
          <w:szCs w:val="28"/>
          <w:highlight w:val="none"/>
        </w:rPr>
        <w:t>部门整体绩效目标表</w:t>
      </w:r>
    </w:p>
    <w:p>
      <w:pPr>
        <w:spacing w:line="360" w:lineRule="exact"/>
        <w:jc w:val="center"/>
        <w:rPr>
          <w:rFonts w:ascii="仿宋" w:eastAsia="仿宋"/>
          <w:sz w:val="18"/>
          <w:szCs w:val="18"/>
          <w:highlight w:val="none"/>
        </w:rPr>
      </w:pPr>
      <w:r>
        <w:rPr>
          <w:rFonts w:hint="eastAsia" w:ascii="仿宋" w:eastAsia="仿宋"/>
          <w:sz w:val="18"/>
          <w:szCs w:val="18"/>
          <w:highlight w:val="none"/>
        </w:rPr>
        <w:t>（2025年）</w:t>
      </w:r>
    </w:p>
    <w:tbl>
      <w:tblPr>
        <w:tblStyle w:val="8"/>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2410"/>
        <w:gridCol w:w="88"/>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部门名称（盖章）</w:t>
            </w:r>
          </w:p>
        </w:tc>
        <w:tc>
          <w:tcPr>
            <w:tcW w:w="6578" w:type="dxa"/>
            <w:gridSpan w:val="5"/>
            <w:shd w:val="clear" w:color="auto" w:fill="auto"/>
            <w:vAlign w:val="center"/>
          </w:tcPr>
          <w:p>
            <w:pPr>
              <w:jc w:val="center"/>
              <w:rPr>
                <w:sz w:val="18"/>
                <w:szCs w:val="18"/>
                <w:highlight w:val="none"/>
              </w:rPr>
            </w:pPr>
            <w:r>
              <w:rPr>
                <w:rFonts w:hint="eastAsia"/>
                <w:sz w:val="18"/>
                <w:szCs w:val="18"/>
                <w:highlight w:val="none"/>
              </w:rPr>
              <w:t>皮山县社会保险中心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部门联系人</w:t>
            </w:r>
          </w:p>
        </w:tc>
        <w:tc>
          <w:tcPr>
            <w:tcW w:w="2498" w:type="dxa"/>
            <w:gridSpan w:val="2"/>
            <w:shd w:val="clear" w:color="auto" w:fill="auto"/>
            <w:vAlign w:val="center"/>
          </w:tcPr>
          <w:p>
            <w:pPr>
              <w:jc w:val="center"/>
              <w:rPr>
                <w:b/>
                <w:sz w:val="18"/>
                <w:szCs w:val="18"/>
                <w:highlight w:val="none"/>
              </w:rPr>
            </w:pPr>
            <w:r>
              <w:rPr>
                <w:rFonts w:hint="eastAsia"/>
                <w:sz w:val="18"/>
                <w:szCs w:val="18"/>
                <w:highlight w:val="none"/>
              </w:rPr>
              <w:t>卡</w:t>
            </w:r>
            <w:r>
              <w:rPr>
                <w:rFonts w:hint="eastAsia"/>
                <w:sz w:val="18"/>
                <w:szCs w:val="18"/>
                <w:highlight w:val="none"/>
                <w:lang w:val="en-US" w:eastAsia="zh-CN"/>
              </w:rPr>
              <w:t>力</w:t>
            </w:r>
            <w:r>
              <w:rPr>
                <w:rFonts w:hint="eastAsia"/>
                <w:sz w:val="18"/>
                <w:szCs w:val="18"/>
                <w:highlight w:val="none"/>
              </w:rPr>
              <w:t>比</w:t>
            </w:r>
            <w:r>
              <w:rPr>
                <w:rFonts w:hint="eastAsia"/>
                <w:sz w:val="18"/>
                <w:szCs w:val="18"/>
                <w:highlight w:val="none"/>
                <w:lang w:val="en-US" w:eastAsia="zh-CN"/>
              </w:rPr>
              <w:t>奴</w:t>
            </w:r>
            <w:r>
              <w:rPr>
                <w:rFonts w:hint="eastAsia"/>
                <w:sz w:val="18"/>
                <w:szCs w:val="18"/>
                <w:highlight w:val="none"/>
              </w:rPr>
              <w:t>尔</w:t>
            </w:r>
          </w:p>
        </w:tc>
        <w:tc>
          <w:tcPr>
            <w:tcW w:w="1360" w:type="dxa"/>
            <w:shd w:val="clear" w:color="auto" w:fill="auto"/>
            <w:vAlign w:val="center"/>
          </w:tcPr>
          <w:p>
            <w:pPr>
              <w:jc w:val="center"/>
              <w:rPr>
                <w:b/>
                <w:sz w:val="18"/>
                <w:szCs w:val="18"/>
                <w:highlight w:val="none"/>
              </w:rPr>
            </w:pPr>
            <w:r>
              <w:rPr>
                <w:rFonts w:hint="eastAsia"/>
                <w:b/>
                <w:sz w:val="18"/>
                <w:szCs w:val="18"/>
                <w:highlight w:val="none"/>
              </w:rPr>
              <w:t>联系电话</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17509038778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年度绩效目标</w:t>
            </w:r>
          </w:p>
        </w:tc>
        <w:tc>
          <w:tcPr>
            <w:tcW w:w="6578" w:type="dxa"/>
            <w:gridSpan w:val="5"/>
            <w:shd w:val="clear" w:color="auto" w:fill="auto"/>
            <w:vAlign w:val="center"/>
          </w:tcPr>
          <w:p>
            <w:pPr>
              <w:rPr>
                <w:b/>
                <w:sz w:val="18"/>
                <w:szCs w:val="18"/>
                <w:highlight w:val="none"/>
              </w:rPr>
            </w:pPr>
            <w:r>
              <w:rPr>
                <w:rFonts w:hint="eastAsia"/>
                <w:color w:val="000000"/>
                <w:sz w:val="18"/>
                <w:szCs w:val="18"/>
                <w:highlight w:val="none"/>
              </w:rPr>
              <w:t>管好用好社会保险基金；做好城乡居民养老保险的参保、支付等日常工作正常开展，做到应保尽保，实现老有所养；按照兜底线、织密网、建机制的要求，建立激励约束有效、筹资权责清晰、保障水平适度的城乡居民基本养老保险待遇确定和基础养老金正常调整机制，推动城乡居民基本养老保险待遇水平随经济发展而逐步提高，确保参保居民共享经济社会发展成果，促进城乡居民基本养老保险制度健康发展，不断增强参保居民的获得感、幸福感、安全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restart"/>
            <w:shd w:val="clear" w:color="auto" w:fill="auto"/>
            <w:vAlign w:val="center"/>
          </w:tcPr>
          <w:p>
            <w:pPr>
              <w:jc w:val="center"/>
              <w:rPr>
                <w:b/>
                <w:sz w:val="18"/>
                <w:szCs w:val="18"/>
                <w:highlight w:val="none"/>
              </w:rPr>
            </w:pPr>
            <w:r>
              <w:rPr>
                <w:rFonts w:hint="eastAsia"/>
                <w:b/>
                <w:sz w:val="18"/>
                <w:szCs w:val="18"/>
                <w:highlight w:val="none"/>
              </w:rPr>
              <w:t>年度预算(万元)</w:t>
            </w:r>
          </w:p>
        </w:tc>
        <w:tc>
          <w:tcPr>
            <w:tcW w:w="3858" w:type="dxa"/>
            <w:gridSpan w:val="3"/>
            <w:shd w:val="clear" w:color="auto" w:fill="auto"/>
            <w:vAlign w:val="center"/>
          </w:tcPr>
          <w:p>
            <w:pPr>
              <w:jc w:val="center"/>
              <w:rPr>
                <w:sz w:val="18"/>
                <w:szCs w:val="18"/>
                <w:highlight w:val="none"/>
              </w:rPr>
            </w:pPr>
            <w:r>
              <w:rPr>
                <w:rFonts w:hint="eastAsia"/>
                <w:sz w:val="18"/>
                <w:szCs w:val="18"/>
                <w:highlight w:val="none"/>
              </w:rPr>
              <w:t>资金来源</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b/>
                <w:sz w:val="18"/>
                <w:szCs w:val="18"/>
                <w:highlight w:val="none"/>
              </w:rPr>
            </w:pPr>
          </w:p>
        </w:tc>
        <w:tc>
          <w:tcPr>
            <w:tcW w:w="2410" w:type="dxa"/>
            <w:vMerge w:val="restart"/>
            <w:shd w:val="clear" w:color="auto" w:fill="auto"/>
            <w:vAlign w:val="center"/>
          </w:tcPr>
          <w:p>
            <w:pPr>
              <w:jc w:val="center"/>
              <w:rPr>
                <w:sz w:val="18"/>
                <w:szCs w:val="18"/>
                <w:highlight w:val="none"/>
              </w:rPr>
            </w:pPr>
            <w:r>
              <w:rPr>
                <w:rFonts w:hint="eastAsia"/>
                <w:sz w:val="18"/>
                <w:szCs w:val="18"/>
                <w:highlight w:val="none"/>
              </w:rPr>
              <w:t>财政资金（万元）</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上级安排</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b/>
                <w:sz w:val="18"/>
                <w:szCs w:val="18"/>
                <w:highlight w:val="none"/>
              </w:rPr>
            </w:pPr>
          </w:p>
        </w:tc>
        <w:tc>
          <w:tcPr>
            <w:tcW w:w="2410" w:type="dxa"/>
            <w:vMerge w:val="continue"/>
            <w:shd w:val="clear" w:color="auto" w:fill="auto"/>
            <w:vAlign w:val="center"/>
          </w:tcPr>
          <w:p>
            <w:pPr>
              <w:jc w:val="center"/>
              <w:rPr>
                <w:sz w:val="18"/>
                <w:szCs w:val="18"/>
                <w:highlight w:val="none"/>
              </w:rPr>
            </w:pP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本级安排</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1,401.06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b/>
                <w:sz w:val="18"/>
                <w:szCs w:val="18"/>
                <w:highlight w:val="none"/>
              </w:rPr>
            </w:pPr>
          </w:p>
        </w:tc>
        <w:tc>
          <w:tcPr>
            <w:tcW w:w="2410" w:type="dxa"/>
            <w:shd w:val="clear" w:color="auto" w:fill="auto"/>
            <w:vAlign w:val="center"/>
          </w:tcPr>
          <w:p>
            <w:pPr>
              <w:jc w:val="center"/>
              <w:rPr>
                <w:sz w:val="18"/>
                <w:szCs w:val="18"/>
                <w:highlight w:val="none"/>
              </w:rPr>
            </w:pPr>
            <w:r>
              <w:rPr>
                <w:rFonts w:hint="eastAsia"/>
                <w:sz w:val="18"/>
                <w:szCs w:val="18"/>
                <w:highlight w:val="none"/>
              </w:rPr>
              <w:t>其他资金（万元）</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其他</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58.13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1559"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410" w:type="dxa"/>
            <w:shd w:val="clear" w:color="auto" w:fill="auto"/>
            <w:vAlign w:val="center"/>
          </w:tcPr>
          <w:p>
            <w:pPr>
              <w:jc w:val="center"/>
              <w:rPr>
                <w:b/>
                <w:sz w:val="18"/>
                <w:szCs w:val="18"/>
                <w:highlight w:val="none"/>
              </w:rPr>
            </w:pPr>
            <w:r>
              <w:rPr>
                <w:rFonts w:hint="eastAsia"/>
                <w:b/>
                <w:sz w:val="18"/>
                <w:szCs w:val="18"/>
                <w:highlight w:val="none"/>
              </w:rPr>
              <w:t>三级指标</w:t>
            </w:r>
          </w:p>
        </w:tc>
        <w:tc>
          <w:tcPr>
            <w:tcW w:w="1448" w:type="dxa"/>
            <w:gridSpan w:val="2"/>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指标设定依据</w:t>
            </w:r>
          </w:p>
        </w:tc>
        <w:tc>
          <w:tcPr>
            <w:tcW w:w="1360" w:type="dxa"/>
            <w:shd w:val="clear" w:color="auto" w:fill="auto"/>
            <w:vAlign w:val="center"/>
          </w:tcPr>
          <w:p>
            <w:pPr>
              <w:jc w:val="center"/>
              <w:rPr>
                <w:b/>
                <w:sz w:val="18"/>
                <w:szCs w:val="18"/>
                <w:highlight w:val="none"/>
              </w:rPr>
            </w:pPr>
            <w:r>
              <w:rPr>
                <w:rFonts w:hint="eastAsia"/>
                <w:b/>
                <w:sz w:val="18"/>
                <w:szCs w:val="18"/>
                <w:highlight w:val="none"/>
              </w:rPr>
              <w:t>分值权重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highlight w:val="none"/>
              </w:rPr>
            </w:pPr>
            <w:r>
              <w:rPr>
                <w:rFonts w:hint="eastAsia"/>
                <w:sz w:val="18"/>
                <w:szCs w:val="18"/>
                <w:highlight w:val="none"/>
              </w:rPr>
              <w:t>履职效能</w:t>
            </w: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数量指标</w:t>
            </w:r>
          </w:p>
        </w:tc>
        <w:tc>
          <w:tcPr>
            <w:tcW w:w="2410" w:type="dxa"/>
            <w:shd w:val="clear" w:color="auto" w:fill="auto"/>
            <w:vAlign w:val="center"/>
          </w:tcPr>
          <w:p>
            <w:pPr>
              <w:jc w:val="center"/>
              <w:rPr>
                <w:sz w:val="18"/>
                <w:szCs w:val="18"/>
                <w:highlight w:val="none"/>
              </w:rPr>
            </w:pPr>
            <w:r>
              <w:rPr>
                <w:rFonts w:hint="eastAsia"/>
                <w:sz w:val="18"/>
                <w:szCs w:val="18"/>
                <w:highlight w:val="none"/>
              </w:rPr>
              <w:t>城乡居民养老保险参保人数</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＞=145620人</w:t>
            </w:r>
          </w:p>
        </w:tc>
        <w:tc>
          <w:tcPr>
            <w:tcW w:w="1360" w:type="dxa"/>
            <w:shd w:val="clear" w:color="auto" w:fill="auto"/>
            <w:vAlign w:val="center"/>
          </w:tcPr>
          <w:p>
            <w:pPr>
              <w:jc w:val="center"/>
              <w:rPr>
                <w:sz w:val="18"/>
                <w:szCs w:val="18"/>
                <w:highlight w:val="none"/>
              </w:rPr>
            </w:pPr>
            <w:r>
              <w:rPr>
                <w:rFonts w:hint="eastAsia"/>
                <w:sz w:val="18"/>
                <w:szCs w:val="18"/>
                <w:highlight w:val="none"/>
              </w:rPr>
              <w:t>皮山县社会保险中心2025年1至12月份工作计划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数量指标</w:t>
            </w:r>
          </w:p>
        </w:tc>
        <w:tc>
          <w:tcPr>
            <w:tcW w:w="2410" w:type="dxa"/>
            <w:shd w:val="clear" w:color="auto" w:fill="auto"/>
            <w:vAlign w:val="center"/>
          </w:tcPr>
          <w:p>
            <w:pPr>
              <w:jc w:val="center"/>
              <w:rPr>
                <w:sz w:val="18"/>
                <w:szCs w:val="18"/>
                <w:highlight w:val="none"/>
              </w:rPr>
            </w:pPr>
            <w:r>
              <w:rPr>
                <w:rFonts w:hint="eastAsia"/>
                <w:sz w:val="18"/>
                <w:szCs w:val="18"/>
                <w:highlight w:val="none"/>
              </w:rPr>
              <w:t>享受基本养老待遇人数</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＞=20958人</w:t>
            </w:r>
          </w:p>
        </w:tc>
        <w:tc>
          <w:tcPr>
            <w:tcW w:w="1360" w:type="dxa"/>
            <w:shd w:val="clear" w:color="auto" w:fill="auto"/>
            <w:vAlign w:val="center"/>
          </w:tcPr>
          <w:p>
            <w:pPr>
              <w:jc w:val="center"/>
              <w:rPr>
                <w:sz w:val="18"/>
                <w:szCs w:val="18"/>
                <w:highlight w:val="none"/>
              </w:rPr>
            </w:pPr>
            <w:r>
              <w:rPr>
                <w:rFonts w:hint="eastAsia"/>
                <w:sz w:val="18"/>
                <w:szCs w:val="18"/>
                <w:highlight w:val="none"/>
              </w:rPr>
              <w:t>皮山县社会保险中心2025年1至12月份工作计划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数量指标</w:t>
            </w:r>
          </w:p>
        </w:tc>
        <w:tc>
          <w:tcPr>
            <w:tcW w:w="2410" w:type="dxa"/>
            <w:shd w:val="clear" w:color="auto" w:fill="auto"/>
            <w:vAlign w:val="center"/>
          </w:tcPr>
          <w:p>
            <w:pPr>
              <w:jc w:val="center"/>
              <w:rPr>
                <w:sz w:val="18"/>
                <w:szCs w:val="18"/>
                <w:highlight w:val="none"/>
              </w:rPr>
            </w:pPr>
            <w:r>
              <w:rPr>
                <w:rFonts w:hint="eastAsia"/>
                <w:sz w:val="18"/>
                <w:szCs w:val="18"/>
                <w:highlight w:val="none"/>
              </w:rPr>
              <w:t>70-79周岁及80岁以上享受高龄补贴人数</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＞=11473人</w:t>
            </w:r>
          </w:p>
        </w:tc>
        <w:tc>
          <w:tcPr>
            <w:tcW w:w="1360" w:type="dxa"/>
            <w:shd w:val="clear" w:color="auto" w:fill="auto"/>
            <w:vAlign w:val="center"/>
          </w:tcPr>
          <w:p>
            <w:pPr>
              <w:jc w:val="center"/>
              <w:rPr>
                <w:sz w:val="18"/>
                <w:szCs w:val="18"/>
                <w:highlight w:val="none"/>
              </w:rPr>
            </w:pPr>
            <w:r>
              <w:rPr>
                <w:rFonts w:hint="eastAsia"/>
                <w:sz w:val="18"/>
                <w:szCs w:val="18"/>
                <w:highlight w:val="none"/>
              </w:rPr>
              <w:t>皮山县社会保险中心2025年1至12月份工作计划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符合条件的城乡老年居民按时发放率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=100%</w:t>
            </w:r>
          </w:p>
        </w:tc>
        <w:tc>
          <w:tcPr>
            <w:tcW w:w="1360" w:type="dxa"/>
            <w:shd w:val="clear" w:color="auto" w:fill="auto"/>
            <w:vAlign w:val="center"/>
          </w:tcPr>
          <w:p>
            <w:pPr>
              <w:jc w:val="center"/>
              <w:rPr>
                <w:sz w:val="18"/>
                <w:szCs w:val="18"/>
                <w:highlight w:val="none"/>
              </w:rPr>
            </w:pPr>
            <w:r>
              <w:rPr>
                <w:rFonts w:hint="eastAsia"/>
                <w:sz w:val="18"/>
                <w:szCs w:val="18"/>
                <w:highlight w:val="none"/>
              </w:rPr>
              <w:t>皮山县社会保险中心2025年1至12月份工作计划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符合条件的城乡老年居民足额发放率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=100%</w:t>
            </w:r>
          </w:p>
        </w:tc>
        <w:tc>
          <w:tcPr>
            <w:tcW w:w="1360" w:type="dxa"/>
            <w:shd w:val="clear" w:color="auto" w:fill="auto"/>
            <w:vAlign w:val="center"/>
          </w:tcPr>
          <w:p>
            <w:pPr>
              <w:jc w:val="center"/>
              <w:rPr>
                <w:sz w:val="18"/>
                <w:szCs w:val="18"/>
                <w:highlight w:val="none"/>
              </w:rPr>
            </w:pPr>
            <w:r>
              <w:rPr>
                <w:rFonts w:hint="eastAsia"/>
                <w:sz w:val="18"/>
                <w:szCs w:val="18"/>
                <w:highlight w:val="none"/>
              </w:rPr>
              <w:t>皮山县社会保险中心2025年1至12月份工作计划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bl>
    <w:p>
      <w:pPr>
        <w:rPr>
          <w:highlight w:val="none"/>
        </w:rPr>
      </w:pPr>
    </w:p>
    <w:p>
      <w:pPr>
        <w:spacing w:line="560" w:lineRule="exact"/>
        <w:jc w:val="center"/>
        <w:rPr>
          <w:rFonts w:ascii="仿宋" w:eastAsia="仿宋"/>
          <w:b/>
          <w:sz w:val="28"/>
          <w:szCs w:val="28"/>
          <w:highlight w:val="none"/>
        </w:rPr>
      </w:pPr>
      <w:r>
        <w:rPr>
          <w:b/>
          <w:sz w:val="44"/>
          <w:szCs w:val="44"/>
          <w:highlight w:val="none"/>
        </w:rPr>
        <w:br w:type="page"/>
      </w:r>
      <w:r>
        <w:rPr>
          <w:rFonts w:hint="eastAsia" w:ascii="仿宋" w:eastAsia="仿宋"/>
          <w:b/>
          <w:sz w:val="28"/>
          <w:szCs w:val="28"/>
          <w:highlight w:val="none"/>
        </w:rPr>
        <w:t>项目支出绩效目标表</w:t>
      </w:r>
    </w:p>
    <w:p>
      <w:pPr>
        <w:spacing w:line="360" w:lineRule="exact"/>
        <w:jc w:val="center"/>
        <w:rPr>
          <w:rFonts w:ascii="仿宋" w:eastAsia="仿宋"/>
          <w:sz w:val="18"/>
          <w:szCs w:val="18"/>
          <w:highlight w:val="none"/>
        </w:rPr>
      </w:pPr>
      <w:r>
        <w:rPr>
          <w:rFonts w:hint="eastAsia" w:ascii="仿宋" w:eastAsia="仿宋"/>
          <w:sz w:val="18"/>
          <w:szCs w:val="18"/>
          <w:highlight w:val="none"/>
        </w:rPr>
        <w:t>（2025年）</w:t>
      </w:r>
    </w:p>
    <w:tbl>
      <w:tblPr>
        <w:tblStyle w:val="8"/>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预算单位</w:t>
            </w:r>
          </w:p>
        </w:tc>
        <w:tc>
          <w:tcPr>
            <w:tcW w:w="8160" w:type="dxa"/>
            <w:gridSpan w:val="8"/>
            <w:shd w:val="clear" w:color="auto" w:fill="auto"/>
            <w:vAlign w:val="center"/>
          </w:tcPr>
          <w:p>
            <w:pPr>
              <w:jc w:val="center"/>
              <w:rPr>
                <w:sz w:val="18"/>
                <w:szCs w:val="18"/>
                <w:highlight w:val="none"/>
              </w:rPr>
            </w:pPr>
            <w:r>
              <w:rPr>
                <w:rFonts w:hint="eastAsia"/>
                <w:sz w:val="18"/>
                <w:szCs w:val="18"/>
                <w:highlight w:val="none"/>
              </w:rPr>
              <w:t>皮山县社会保险中心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项目名称</w:t>
            </w:r>
          </w:p>
        </w:tc>
        <w:tc>
          <w:tcPr>
            <w:tcW w:w="5440" w:type="dxa"/>
            <w:gridSpan w:val="6"/>
            <w:shd w:val="clear" w:color="auto" w:fill="auto"/>
            <w:vAlign w:val="center"/>
          </w:tcPr>
          <w:p>
            <w:pPr>
              <w:jc w:val="center"/>
              <w:rPr>
                <w:b/>
                <w:sz w:val="18"/>
                <w:szCs w:val="18"/>
                <w:highlight w:val="none"/>
              </w:rPr>
            </w:pPr>
            <w:r>
              <w:rPr>
                <w:b w:val="0"/>
                <w:bCs/>
                <w:sz w:val="18"/>
                <w:szCs w:val="18"/>
                <w:highlight w:val="none"/>
              </w:rPr>
              <w:t>2025年保基本民生县配套资金—城乡居民基本养老保险县级配套资金</w:t>
            </w:r>
          </w:p>
        </w:tc>
        <w:tc>
          <w:tcPr>
            <w:tcW w:w="1360" w:type="dxa"/>
            <w:shd w:val="clear" w:color="auto" w:fill="auto"/>
            <w:vAlign w:val="center"/>
          </w:tcPr>
          <w:p>
            <w:pPr>
              <w:jc w:val="center"/>
              <w:rPr>
                <w:sz w:val="18"/>
                <w:szCs w:val="18"/>
                <w:highlight w:val="none"/>
              </w:rPr>
            </w:pPr>
            <w:r>
              <w:rPr>
                <w:rFonts w:hint="eastAsia"/>
                <w:b/>
                <w:sz w:val="18"/>
                <w:szCs w:val="18"/>
                <w:highlight w:val="none"/>
              </w:rPr>
              <w:t>项目负责人</w:t>
            </w:r>
          </w:p>
        </w:tc>
        <w:tc>
          <w:tcPr>
            <w:tcW w:w="1360" w:type="dxa"/>
            <w:shd w:val="clear" w:color="auto" w:fill="auto"/>
            <w:vAlign w:val="center"/>
          </w:tcPr>
          <w:p>
            <w:pPr>
              <w:jc w:val="center"/>
              <w:rPr>
                <w:sz w:val="18"/>
                <w:szCs w:val="18"/>
                <w:highlight w:val="none"/>
              </w:rPr>
            </w:pPr>
            <w:r>
              <w:rPr>
                <w:rFonts w:hint="eastAsia"/>
                <w:sz w:val="18"/>
                <w:szCs w:val="18"/>
                <w:highlight w:val="none"/>
              </w:rPr>
              <w:t>王瑞欢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项目资金(万元)</w:t>
            </w:r>
          </w:p>
        </w:tc>
        <w:tc>
          <w:tcPr>
            <w:tcW w:w="1360" w:type="dxa"/>
            <w:shd w:val="clear" w:color="auto" w:fill="auto"/>
            <w:vAlign w:val="center"/>
          </w:tcPr>
          <w:p>
            <w:pPr>
              <w:jc w:val="center"/>
              <w:rPr>
                <w:sz w:val="18"/>
                <w:szCs w:val="18"/>
                <w:highlight w:val="none"/>
              </w:rPr>
            </w:pPr>
            <w:r>
              <w:rPr>
                <w:rFonts w:hint="eastAsia"/>
                <w:sz w:val="18"/>
                <w:szCs w:val="18"/>
                <w:highlight w:val="none"/>
              </w:rPr>
              <w:t>年度预算总额</w:t>
            </w:r>
          </w:p>
        </w:tc>
        <w:tc>
          <w:tcPr>
            <w:tcW w:w="1360" w:type="dxa"/>
            <w:gridSpan w:val="2"/>
            <w:shd w:val="clear" w:color="auto" w:fill="auto"/>
            <w:vAlign w:val="center"/>
          </w:tcPr>
          <w:p>
            <w:pPr>
              <w:jc w:val="center"/>
              <w:rPr>
                <w:rFonts w:hint="eastAsia" w:eastAsia="宋体"/>
                <w:sz w:val="18"/>
                <w:szCs w:val="18"/>
                <w:highlight w:val="none"/>
                <w:lang w:val="en-US" w:eastAsia="zh-CN"/>
              </w:rPr>
            </w:pPr>
            <w:r>
              <w:rPr>
                <w:rFonts w:hint="eastAsia"/>
                <w:sz w:val="18"/>
                <w:szCs w:val="18"/>
                <w:highlight w:val="none"/>
                <w:lang w:val="en-US" w:eastAsia="zh-CN"/>
              </w:rPr>
              <w:t>998.11</w:t>
            </w:r>
          </w:p>
        </w:tc>
        <w:tc>
          <w:tcPr>
            <w:tcW w:w="1360" w:type="dxa"/>
            <w:shd w:val="clear" w:color="auto" w:fill="auto"/>
            <w:vAlign w:val="center"/>
          </w:tcPr>
          <w:p>
            <w:pPr>
              <w:jc w:val="center"/>
              <w:rPr>
                <w:sz w:val="18"/>
                <w:szCs w:val="18"/>
                <w:highlight w:val="none"/>
              </w:rPr>
            </w:pPr>
            <w:r>
              <w:rPr>
                <w:rFonts w:hint="eastAsia"/>
                <w:sz w:val="18"/>
                <w:szCs w:val="18"/>
                <w:highlight w:val="none"/>
              </w:rPr>
              <w:t>其中：财政拨款</w:t>
            </w:r>
          </w:p>
        </w:tc>
        <w:tc>
          <w:tcPr>
            <w:tcW w:w="1360" w:type="dxa"/>
            <w:gridSpan w:val="2"/>
            <w:shd w:val="clear" w:color="auto" w:fill="auto"/>
            <w:vAlign w:val="center"/>
          </w:tcPr>
          <w:p>
            <w:pPr>
              <w:jc w:val="center"/>
              <w:rPr>
                <w:rFonts w:hint="eastAsia" w:eastAsia="宋体"/>
                <w:sz w:val="18"/>
                <w:szCs w:val="18"/>
                <w:highlight w:val="none"/>
                <w:lang w:val="en-US" w:eastAsia="zh-CN"/>
              </w:rPr>
            </w:pPr>
            <w:r>
              <w:rPr>
                <w:rFonts w:hint="eastAsia"/>
                <w:sz w:val="18"/>
                <w:szCs w:val="18"/>
                <w:highlight w:val="none"/>
                <w:lang w:val="en-US" w:eastAsia="zh-CN"/>
              </w:rPr>
              <w:t>998.11</w:t>
            </w:r>
          </w:p>
        </w:tc>
        <w:tc>
          <w:tcPr>
            <w:tcW w:w="1360" w:type="dxa"/>
            <w:shd w:val="clear" w:color="auto" w:fill="auto"/>
            <w:vAlign w:val="center"/>
          </w:tcPr>
          <w:p>
            <w:pPr>
              <w:jc w:val="center"/>
              <w:rPr>
                <w:sz w:val="18"/>
                <w:szCs w:val="18"/>
                <w:highlight w:val="none"/>
              </w:rPr>
            </w:pPr>
            <w:r>
              <w:rPr>
                <w:rFonts w:hint="eastAsia"/>
                <w:sz w:val="18"/>
                <w:szCs w:val="18"/>
                <w:highlight w:val="none"/>
              </w:rPr>
              <w:t>其他资金</w:t>
            </w:r>
          </w:p>
        </w:tc>
        <w:tc>
          <w:tcPr>
            <w:tcW w:w="1360" w:type="dxa"/>
            <w:shd w:val="clear" w:color="auto" w:fill="auto"/>
            <w:vAlign w:val="center"/>
          </w:tcPr>
          <w:p>
            <w:pPr>
              <w:jc w:val="center"/>
              <w:rPr>
                <w:sz w:val="18"/>
                <w:szCs w:val="18"/>
                <w:highlight w:val="none"/>
              </w:rPr>
            </w:pPr>
            <w:r>
              <w:rPr>
                <w:rFonts w:hint="eastAsia"/>
                <w:sz w:val="18"/>
                <w:szCs w:val="18"/>
                <w:highlight w:val="none"/>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项目总体目标</w:t>
            </w:r>
          </w:p>
        </w:tc>
        <w:tc>
          <w:tcPr>
            <w:tcW w:w="8160" w:type="dxa"/>
            <w:gridSpan w:val="8"/>
            <w:shd w:val="clear" w:color="auto" w:fill="auto"/>
            <w:vAlign w:val="center"/>
          </w:tcPr>
          <w:p>
            <w:pPr>
              <w:rPr>
                <w:b/>
                <w:sz w:val="18"/>
                <w:szCs w:val="18"/>
                <w:highlight w:val="none"/>
              </w:rPr>
            </w:pPr>
            <w:r>
              <w:rPr>
                <w:rFonts w:hint="eastAsia"/>
                <w:color w:val="000000"/>
                <w:sz w:val="18"/>
                <w:szCs w:val="18"/>
                <w:highlight w:val="none"/>
              </w:rPr>
              <w:t>根据《关于拨付2025年中央和自治区财政城乡居民基本养老保险补助资金的通知》</w:t>
            </w:r>
            <w:r>
              <w:rPr>
                <w:rFonts w:hint="eastAsia"/>
                <w:color w:val="000000"/>
                <w:sz w:val="18"/>
                <w:szCs w:val="18"/>
                <w:highlight w:val="none"/>
                <w:lang w:eastAsia="zh-CN"/>
              </w:rPr>
              <w:t>（和地财</w:t>
            </w:r>
            <w:r>
              <w:rPr>
                <w:rFonts w:hint="eastAsia"/>
                <w:color w:val="000000"/>
                <w:sz w:val="18"/>
                <w:szCs w:val="18"/>
                <w:highlight w:val="none"/>
              </w:rPr>
              <w:t>社〔202</w:t>
            </w:r>
            <w:r>
              <w:rPr>
                <w:rFonts w:hint="eastAsia"/>
                <w:color w:val="000000"/>
                <w:sz w:val="18"/>
                <w:szCs w:val="18"/>
                <w:highlight w:val="none"/>
                <w:lang w:val="en-US" w:eastAsia="zh-CN"/>
              </w:rPr>
              <w:t>4</w:t>
            </w:r>
            <w:r>
              <w:rPr>
                <w:rFonts w:hint="eastAsia"/>
                <w:color w:val="000000"/>
                <w:sz w:val="18"/>
                <w:szCs w:val="18"/>
                <w:highlight w:val="none"/>
              </w:rPr>
              <w:t>〕104</w:t>
            </w:r>
            <w:r>
              <w:rPr>
                <w:rFonts w:hint="eastAsia"/>
                <w:color w:val="000000"/>
                <w:sz w:val="18"/>
                <w:szCs w:val="18"/>
                <w:highlight w:val="none"/>
                <w:lang w:eastAsia="zh-CN"/>
              </w:rPr>
              <w:t>号）</w:t>
            </w:r>
            <w:r>
              <w:rPr>
                <w:rFonts w:hint="eastAsia"/>
                <w:color w:val="000000"/>
                <w:sz w:val="18"/>
                <w:szCs w:val="18"/>
                <w:highlight w:val="none"/>
              </w:rPr>
              <w:t>和《关于拨付2025年度城乡居民基本养老保险县级财政配套资金的请示》文件要求，确保城乡参保缴费居民能够及时足额享受缴费补贴，到龄符合待遇领取人员能够及时足额领取到城乡居民基本养老保险待遇，保障老年参保居民的基本生活，实现“老有所养”，不断提高城乡居民参保的获得感</w:t>
            </w:r>
            <w:r>
              <w:rPr>
                <w:rFonts w:hint="eastAsia"/>
                <w:color w:val="000000"/>
                <w:sz w:val="18"/>
                <w:szCs w:val="18"/>
                <w:highlight w:val="none"/>
                <w:lang w:val="en-US" w:eastAsia="zh-CN"/>
              </w:rPr>
              <w:t>、</w:t>
            </w:r>
            <w:r>
              <w:rPr>
                <w:rFonts w:hint="eastAsia"/>
                <w:color w:val="000000"/>
                <w:sz w:val="18"/>
                <w:szCs w:val="18"/>
                <w:highlight w:val="none"/>
              </w:rPr>
              <w:t>幸福感和安全感。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040" w:type="dxa"/>
            <w:gridSpan w:val="2"/>
            <w:shd w:val="clear" w:color="auto" w:fill="auto"/>
            <w:vAlign w:val="center"/>
          </w:tcPr>
          <w:p>
            <w:pPr>
              <w:jc w:val="center"/>
              <w:rPr>
                <w:b/>
                <w:sz w:val="18"/>
                <w:szCs w:val="18"/>
                <w:highlight w:val="none"/>
              </w:rPr>
            </w:pPr>
            <w:r>
              <w:rPr>
                <w:rFonts w:hint="eastAsia"/>
                <w:b/>
                <w:sz w:val="18"/>
                <w:szCs w:val="18"/>
                <w:highlight w:val="none"/>
              </w:rPr>
              <w:t>三级指标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指标值设置依据</w:t>
            </w:r>
          </w:p>
        </w:tc>
        <w:tc>
          <w:tcPr>
            <w:tcW w:w="680" w:type="dxa"/>
            <w:shd w:val="clear" w:color="auto" w:fill="auto"/>
            <w:vAlign w:val="center"/>
          </w:tcPr>
          <w:p>
            <w:pPr>
              <w:jc w:val="center"/>
              <w:rPr>
                <w:b/>
                <w:sz w:val="18"/>
                <w:szCs w:val="18"/>
                <w:highlight w:val="none"/>
              </w:rPr>
            </w:pPr>
            <w:r>
              <w:rPr>
                <w:rFonts w:hint="eastAsia"/>
                <w:b/>
                <w:sz w:val="18"/>
                <w:szCs w:val="18"/>
                <w:highlight w:val="none"/>
              </w:rPr>
              <w:t>上年完成值</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指标分值权重</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指标赋分规则</w:t>
            </w:r>
          </w:p>
        </w:tc>
        <w:tc>
          <w:tcPr>
            <w:tcW w:w="1360" w:type="dxa"/>
            <w:shd w:val="clear" w:color="auto" w:fill="auto"/>
            <w:vAlign w:val="center"/>
          </w:tcPr>
          <w:p>
            <w:pPr>
              <w:jc w:val="center"/>
              <w:rPr>
                <w:b/>
                <w:sz w:val="18"/>
                <w:szCs w:val="18"/>
                <w:highlight w:val="none"/>
              </w:rPr>
            </w:pPr>
            <w:r>
              <w:rPr>
                <w:rFonts w:hint="eastAsia"/>
                <w:b/>
                <w:sz w:val="18"/>
                <w:szCs w:val="18"/>
                <w:highlight w:val="none"/>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产出指标</w:t>
            </w: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数量指标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符合条件的城乡老年居民按时发放率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continue"/>
            <w:shd w:val="clear" w:color="auto" w:fill="auto"/>
            <w:vAlign w:val="center"/>
          </w:tcPr>
          <w:p>
            <w:pPr>
              <w:jc w:val="center"/>
              <w:rPr>
                <w:rFonts w:hint="eastAsia" w:ascii="宋体" w:hAnsi="宋体"/>
                <w:sz w:val="16"/>
                <w:szCs w:val="16"/>
                <w:highlight w:val="none"/>
              </w:rPr>
            </w:pP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符合条件的城乡老年居民足额发放率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质量指标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符合待遇</w:t>
            </w:r>
            <w:r>
              <w:rPr>
                <w:rFonts w:hint="eastAsia" w:ascii="宋体" w:hAnsi="宋体"/>
                <w:sz w:val="16"/>
                <w:szCs w:val="16"/>
                <w:highlight w:val="none"/>
              </w:rPr>
              <w:t>享受条件</w:t>
            </w:r>
            <w:r>
              <w:rPr>
                <w:rFonts w:ascii="宋体" w:hAnsi="宋体"/>
                <w:sz w:val="16"/>
                <w:szCs w:val="16"/>
                <w:highlight w:val="none"/>
              </w:rPr>
              <w:t>人员享受待遇率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时效指标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基础养老金按时足额发放比率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成本指标</w:t>
            </w: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经济成本指标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城乡居民基础养老金平均标准</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=213元/人/月</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效益指标</w:t>
            </w: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社会效益指标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城乡居民基本养老保险可持续发展</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有效推动</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按评判等级赋分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满意度指标</w:t>
            </w:r>
          </w:p>
        </w:tc>
        <w:tc>
          <w:tcPr>
            <w:tcW w:w="680" w:type="dxa"/>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满意度指标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受补助人员满意度</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＞=95%</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满意度赋分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bl>
    <w:p>
      <w:pPr>
        <w:rPr>
          <w:highlight w:val="none"/>
        </w:rPr>
      </w:pPr>
    </w:p>
    <w:p>
      <w:pPr>
        <w:spacing w:line="560" w:lineRule="exact"/>
        <w:jc w:val="center"/>
        <w:rPr>
          <w:rFonts w:ascii="仿宋" w:eastAsia="仿宋"/>
          <w:b/>
          <w:sz w:val="28"/>
          <w:szCs w:val="28"/>
          <w:highlight w:val="none"/>
        </w:rPr>
      </w:pPr>
      <w:r>
        <w:rPr>
          <w:b/>
          <w:sz w:val="44"/>
          <w:szCs w:val="44"/>
          <w:highlight w:val="none"/>
        </w:rPr>
        <w:br w:type="page"/>
      </w:r>
      <w:r>
        <w:rPr>
          <w:rFonts w:hint="eastAsia" w:ascii="仿宋" w:eastAsia="仿宋"/>
          <w:b/>
          <w:sz w:val="28"/>
          <w:szCs w:val="28"/>
          <w:highlight w:val="none"/>
        </w:rPr>
        <w:t>项目支出绩效目标表</w:t>
      </w:r>
    </w:p>
    <w:p>
      <w:pPr>
        <w:spacing w:line="360" w:lineRule="exact"/>
        <w:jc w:val="center"/>
        <w:rPr>
          <w:rFonts w:ascii="仿宋" w:eastAsia="仿宋"/>
          <w:sz w:val="18"/>
          <w:szCs w:val="18"/>
          <w:highlight w:val="none"/>
        </w:rPr>
      </w:pPr>
      <w:r>
        <w:rPr>
          <w:rFonts w:hint="eastAsia" w:ascii="仿宋" w:eastAsia="仿宋"/>
          <w:sz w:val="18"/>
          <w:szCs w:val="18"/>
          <w:highlight w:val="none"/>
        </w:rPr>
        <w:t>（2025年）</w:t>
      </w:r>
    </w:p>
    <w:tbl>
      <w:tblPr>
        <w:tblStyle w:val="8"/>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预算单位</w:t>
            </w:r>
          </w:p>
        </w:tc>
        <w:tc>
          <w:tcPr>
            <w:tcW w:w="8160" w:type="dxa"/>
            <w:gridSpan w:val="8"/>
            <w:shd w:val="clear" w:color="auto" w:fill="auto"/>
            <w:vAlign w:val="center"/>
          </w:tcPr>
          <w:p>
            <w:pPr>
              <w:jc w:val="center"/>
              <w:rPr>
                <w:sz w:val="18"/>
                <w:szCs w:val="18"/>
                <w:highlight w:val="none"/>
              </w:rPr>
            </w:pPr>
            <w:r>
              <w:rPr>
                <w:rFonts w:hint="eastAsia"/>
                <w:sz w:val="18"/>
                <w:szCs w:val="18"/>
                <w:highlight w:val="none"/>
              </w:rPr>
              <w:t>皮山县社会保险中心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项目名称</w:t>
            </w:r>
          </w:p>
        </w:tc>
        <w:tc>
          <w:tcPr>
            <w:tcW w:w="5440" w:type="dxa"/>
            <w:gridSpan w:val="6"/>
            <w:shd w:val="clear" w:color="auto" w:fill="auto"/>
            <w:vAlign w:val="center"/>
          </w:tcPr>
          <w:p>
            <w:pPr>
              <w:jc w:val="center"/>
              <w:rPr>
                <w:b/>
                <w:sz w:val="18"/>
                <w:szCs w:val="18"/>
                <w:highlight w:val="none"/>
              </w:rPr>
            </w:pPr>
            <w:r>
              <w:rPr>
                <w:rFonts w:ascii="宋体" w:hAnsi="宋体"/>
                <w:kern w:val="0"/>
                <w:sz w:val="18"/>
                <w:szCs w:val="18"/>
                <w:highlight w:val="none"/>
              </w:rPr>
              <w:t>2025年保基本民生县配套资金—企业职工养老保险县级配套资金</w:t>
            </w:r>
          </w:p>
        </w:tc>
        <w:tc>
          <w:tcPr>
            <w:tcW w:w="1360" w:type="dxa"/>
            <w:shd w:val="clear" w:color="auto" w:fill="auto"/>
            <w:vAlign w:val="center"/>
          </w:tcPr>
          <w:p>
            <w:pPr>
              <w:jc w:val="center"/>
              <w:rPr>
                <w:sz w:val="18"/>
                <w:szCs w:val="18"/>
                <w:highlight w:val="none"/>
              </w:rPr>
            </w:pPr>
            <w:r>
              <w:rPr>
                <w:rFonts w:hint="eastAsia"/>
                <w:b/>
                <w:sz w:val="18"/>
                <w:szCs w:val="18"/>
                <w:highlight w:val="none"/>
              </w:rPr>
              <w:t>项目负责人</w:t>
            </w:r>
          </w:p>
        </w:tc>
        <w:tc>
          <w:tcPr>
            <w:tcW w:w="1360" w:type="dxa"/>
            <w:shd w:val="clear" w:color="auto" w:fill="auto"/>
            <w:vAlign w:val="center"/>
          </w:tcPr>
          <w:p>
            <w:pPr>
              <w:jc w:val="center"/>
              <w:rPr>
                <w:sz w:val="18"/>
                <w:szCs w:val="18"/>
                <w:highlight w:val="none"/>
              </w:rPr>
            </w:pPr>
            <w:r>
              <w:rPr>
                <w:rFonts w:hint="eastAsia"/>
                <w:sz w:val="18"/>
                <w:szCs w:val="18"/>
                <w:highlight w:val="none"/>
              </w:rPr>
              <w:t>王瑞欢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项目资金(万元)</w:t>
            </w:r>
          </w:p>
        </w:tc>
        <w:tc>
          <w:tcPr>
            <w:tcW w:w="1360" w:type="dxa"/>
            <w:shd w:val="clear" w:color="auto" w:fill="auto"/>
            <w:vAlign w:val="center"/>
          </w:tcPr>
          <w:p>
            <w:pPr>
              <w:jc w:val="center"/>
              <w:rPr>
                <w:sz w:val="18"/>
                <w:szCs w:val="18"/>
                <w:highlight w:val="none"/>
              </w:rPr>
            </w:pPr>
            <w:r>
              <w:rPr>
                <w:rFonts w:hint="eastAsia"/>
                <w:sz w:val="18"/>
                <w:szCs w:val="18"/>
                <w:highlight w:val="none"/>
              </w:rPr>
              <w:t>年度预算总额</w:t>
            </w:r>
          </w:p>
        </w:tc>
        <w:tc>
          <w:tcPr>
            <w:tcW w:w="1360" w:type="dxa"/>
            <w:gridSpan w:val="2"/>
            <w:shd w:val="clear" w:color="auto" w:fill="auto"/>
            <w:vAlign w:val="center"/>
          </w:tcPr>
          <w:p>
            <w:pPr>
              <w:jc w:val="center"/>
              <w:rPr>
                <w:rFonts w:hint="eastAsia" w:eastAsia="宋体"/>
                <w:sz w:val="18"/>
                <w:szCs w:val="18"/>
                <w:highlight w:val="none"/>
                <w:lang w:val="en-US" w:eastAsia="zh-CN"/>
              </w:rPr>
            </w:pPr>
            <w:r>
              <w:rPr>
                <w:rFonts w:hint="eastAsia"/>
                <w:sz w:val="18"/>
                <w:szCs w:val="18"/>
                <w:highlight w:val="none"/>
                <w:lang w:val="en-US" w:eastAsia="zh-CN"/>
              </w:rPr>
              <w:t>52.5</w:t>
            </w:r>
          </w:p>
        </w:tc>
        <w:tc>
          <w:tcPr>
            <w:tcW w:w="1360" w:type="dxa"/>
            <w:shd w:val="clear" w:color="auto" w:fill="auto"/>
            <w:vAlign w:val="center"/>
          </w:tcPr>
          <w:p>
            <w:pPr>
              <w:jc w:val="center"/>
              <w:rPr>
                <w:sz w:val="18"/>
                <w:szCs w:val="18"/>
                <w:highlight w:val="none"/>
              </w:rPr>
            </w:pPr>
            <w:r>
              <w:rPr>
                <w:rFonts w:hint="eastAsia"/>
                <w:sz w:val="18"/>
                <w:szCs w:val="18"/>
                <w:highlight w:val="none"/>
              </w:rPr>
              <w:t>其中：财政拨款</w:t>
            </w:r>
          </w:p>
        </w:tc>
        <w:tc>
          <w:tcPr>
            <w:tcW w:w="1360" w:type="dxa"/>
            <w:gridSpan w:val="2"/>
            <w:shd w:val="clear" w:color="auto" w:fill="auto"/>
            <w:vAlign w:val="center"/>
          </w:tcPr>
          <w:p>
            <w:pPr>
              <w:jc w:val="center"/>
              <w:rPr>
                <w:rFonts w:hint="eastAsia" w:eastAsia="宋体"/>
                <w:sz w:val="18"/>
                <w:szCs w:val="18"/>
                <w:highlight w:val="none"/>
                <w:lang w:val="en-US" w:eastAsia="zh-CN"/>
              </w:rPr>
            </w:pPr>
            <w:r>
              <w:rPr>
                <w:rFonts w:hint="eastAsia"/>
                <w:sz w:val="18"/>
                <w:szCs w:val="18"/>
                <w:highlight w:val="none"/>
                <w:lang w:val="en-US" w:eastAsia="zh-CN"/>
              </w:rPr>
              <w:t>52.5</w:t>
            </w:r>
          </w:p>
        </w:tc>
        <w:tc>
          <w:tcPr>
            <w:tcW w:w="1360" w:type="dxa"/>
            <w:shd w:val="clear" w:color="auto" w:fill="auto"/>
            <w:vAlign w:val="center"/>
          </w:tcPr>
          <w:p>
            <w:pPr>
              <w:jc w:val="center"/>
              <w:rPr>
                <w:sz w:val="18"/>
                <w:szCs w:val="18"/>
                <w:highlight w:val="none"/>
              </w:rPr>
            </w:pPr>
            <w:r>
              <w:rPr>
                <w:rFonts w:hint="eastAsia"/>
                <w:sz w:val="18"/>
                <w:szCs w:val="18"/>
                <w:highlight w:val="none"/>
              </w:rPr>
              <w:t>其他资金</w:t>
            </w:r>
          </w:p>
        </w:tc>
        <w:tc>
          <w:tcPr>
            <w:tcW w:w="1360" w:type="dxa"/>
            <w:shd w:val="clear" w:color="auto" w:fill="auto"/>
            <w:vAlign w:val="center"/>
          </w:tcPr>
          <w:p>
            <w:pPr>
              <w:jc w:val="center"/>
              <w:rPr>
                <w:rFonts w:hint="eastAsia" w:eastAsia="宋体"/>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项目总体目标</w:t>
            </w:r>
          </w:p>
        </w:tc>
        <w:tc>
          <w:tcPr>
            <w:tcW w:w="8160" w:type="dxa"/>
            <w:gridSpan w:val="8"/>
            <w:shd w:val="clear" w:color="auto" w:fill="auto"/>
            <w:vAlign w:val="center"/>
          </w:tcPr>
          <w:p>
            <w:pPr>
              <w:rPr>
                <w:b/>
                <w:sz w:val="18"/>
                <w:szCs w:val="18"/>
                <w:highlight w:val="none"/>
              </w:rPr>
            </w:pPr>
            <w:r>
              <w:rPr>
                <w:rFonts w:hint="eastAsia"/>
                <w:color w:val="000000"/>
                <w:sz w:val="18"/>
                <w:szCs w:val="18"/>
                <w:highlight w:val="none"/>
              </w:rPr>
              <w:t>根据《关于拨付2025年度</w:t>
            </w:r>
            <w:r>
              <w:rPr>
                <w:rFonts w:ascii="宋体" w:hAnsi="宋体"/>
                <w:kern w:val="0"/>
                <w:sz w:val="18"/>
                <w:szCs w:val="18"/>
                <w:highlight w:val="none"/>
              </w:rPr>
              <w:t>企业职工养老</w:t>
            </w:r>
            <w:r>
              <w:rPr>
                <w:rFonts w:hint="eastAsia"/>
                <w:color w:val="000000"/>
                <w:sz w:val="18"/>
                <w:szCs w:val="18"/>
                <w:highlight w:val="none"/>
              </w:rPr>
              <w:t>保险县级财政配套资金的请示》文件要求，确保</w:t>
            </w:r>
            <w:r>
              <w:rPr>
                <w:rFonts w:ascii="宋体" w:hAnsi="宋体"/>
                <w:kern w:val="0"/>
                <w:sz w:val="18"/>
                <w:szCs w:val="18"/>
                <w:highlight w:val="none"/>
              </w:rPr>
              <w:t>企业职工</w:t>
            </w:r>
            <w:r>
              <w:rPr>
                <w:rFonts w:hint="eastAsia"/>
                <w:color w:val="000000"/>
                <w:sz w:val="18"/>
                <w:szCs w:val="18"/>
                <w:highlight w:val="none"/>
              </w:rPr>
              <w:t>能够及时足额享受缴费补贴，到龄符合待遇领取人员能够及时足额领取到</w:t>
            </w:r>
            <w:r>
              <w:rPr>
                <w:rFonts w:ascii="宋体" w:hAnsi="宋体"/>
                <w:kern w:val="0"/>
                <w:sz w:val="18"/>
                <w:szCs w:val="18"/>
                <w:highlight w:val="none"/>
              </w:rPr>
              <w:t>企业职工养老</w:t>
            </w:r>
            <w:r>
              <w:rPr>
                <w:rFonts w:hint="eastAsia"/>
                <w:color w:val="000000"/>
                <w:sz w:val="18"/>
                <w:szCs w:val="18"/>
                <w:highlight w:val="none"/>
              </w:rPr>
              <w:t>保险待遇，保障老年参保居民的基本生活，实现“老有所养”，不断提高城乡居民参保的获得感</w:t>
            </w:r>
            <w:r>
              <w:rPr>
                <w:rFonts w:hint="eastAsia"/>
                <w:color w:val="000000"/>
                <w:sz w:val="18"/>
                <w:szCs w:val="18"/>
                <w:highlight w:val="none"/>
                <w:lang w:val="en-US" w:eastAsia="zh-CN"/>
              </w:rPr>
              <w:t>、</w:t>
            </w:r>
            <w:r>
              <w:rPr>
                <w:rFonts w:hint="eastAsia"/>
                <w:color w:val="000000"/>
                <w:sz w:val="18"/>
                <w:szCs w:val="18"/>
                <w:highlight w:val="none"/>
              </w:rPr>
              <w:t>幸福感和安全感。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040" w:type="dxa"/>
            <w:gridSpan w:val="2"/>
            <w:shd w:val="clear" w:color="auto" w:fill="auto"/>
            <w:vAlign w:val="center"/>
          </w:tcPr>
          <w:p>
            <w:pPr>
              <w:jc w:val="center"/>
              <w:rPr>
                <w:b/>
                <w:sz w:val="18"/>
                <w:szCs w:val="18"/>
                <w:highlight w:val="none"/>
              </w:rPr>
            </w:pPr>
            <w:r>
              <w:rPr>
                <w:rFonts w:hint="eastAsia"/>
                <w:b/>
                <w:sz w:val="18"/>
                <w:szCs w:val="18"/>
                <w:highlight w:val="none"/>
              </w:rPr>
              <w:t>三级指标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指标值设置依据</w:t>
            </w:r>
          </w:p>
        </w:tc>
        <w:tc>
          <w:tcPr>
            <w:tcW w:w="680" w:type="dxa"/>
            <w:shd w:val="clear" w:color="auto" w:fill="auto"/>
            <w:vAlign w:val="center"/>
          </w:tcPr>
          <w:p>
            <w:pPr>
              <w:jc w:val="center"/>
              <w:rPr>
                <w:b/>
                <w:sz w:val="18"/>
                <w:szCs w:val="18"/>
                <w:highlight w:val="none"/>
              </w:rPr>
            </w:pPr>
            <w:r>
              <w:rPr>
                <w:rFonts w:hint="eastAsia"/>
                <w:b/>
                <w:sz w:val="18"/>
                <w:szCs w:val="18"/>
                <w:highlight w:val="none"/>
              </w:rPr>
              <w:t>上年完成值</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指标分值权重</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指标赋分规则</w:t>
            </w:r>
          </w:p>
        </w:tc>
        <w:tc>
          <w:tcPr>
            <w:tcW w:w="1360" w:type="dxa"/>
            <w:shd w:val="clear" w:color="auto" w:fill="auto"/>
            <w:vAlign w:val="center"/>
          </w:tcPr>
          <w:p>
            <w:pPr>
              <w:jc w:val="center"/>
              <w:rPr>
                <w:b/>
                <w:sz w:val="18"/>
                <w:szCs w:val="18"/>
                <w:highlight w:val="none"/>
              </w:rPr>
            </w:pPr>
            <w:r>
              <w:rPr>
                <w:rFonts w:hint="eastAsia"/>
                <w:b/>
                <w:sz w:val="18"/>
                <w:szCs w:val="18"/>
                <w:highlight w:val="none"/>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产出指标</w:t>
            </w: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数量指标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符合条件的</w:t>
            </w:r>
            <w:r>
              <w:rPr>
                <w:rFonts w:ascii="宋体" w:hAnsi="宋体"/>
                <w:kern w:val="0"/>
                <w:sz w:val="18"/>
                <w:szCs w:val="18"/>
                <w:highlight w:val="none"/>
              </w:rPr>
              <w:t>企业职工</w:t>
            </w:r>
            <w:r>
              <w:rPr>
                <w:rFonts w:ascii="宋体" w:hAnsi="宋体"/>
                <w:sz w:val="16"/>
                <w:szCs w:val="16"/>
                <w:highlight w:val="none"/>
              </w:rPr>
              <w:t>按时发放率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continue"/>
            <w:shd w:val="clear" w:color="auto" w:fill="auto"/>
            <w:vAlign w:val="center"/>
          </w:tcPr>
          <w:p>
            <w:pPr>
              <w:jc w:val="center"/>
              <w:rPr>
                <w:rFonts w:hint="eastAsia" w:ascii="宋体" w:hAnsi="宋体"/>
                <w:sz w:val="16"/>
                <w:szCs w:val="16"/>
                <w:highlight w:val="none"/>
              </w:rPr>
            </w:pP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符合条件的</w:t>
            </w:r>
            <w:r>
              <w:rPr>
                <w:rFonts w:ascii="宋体" w:hAnsi="宋体"/>
                <w:kern w:val="0"/>
                <w:sz w:val="18"/>
                <w:szCs w:val="18"/>
                <w:highlight w:val="none"/>
              </w:rPr>
              <w:t>企业职工</w:t>
            </w:r>
            <w:r>
              <w:rPr>
                <w:rFonts w:ascii="宋体" w:hAnsi="宋体"/>
                <w:sz w:val="16"/>
                <w:szCs w:val="16"/>
                <w:highlight w:val="none"/>
              </w:rPr>
              <w:t>足额发放率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质量指标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符合待遇</w:t>
            </w:r>
            <w:r>
              <w:rPr>
                <w:rFonts w:hint="eastAsia" w:ascii="宋体" w:hAnsi="宋体"/>
                <w:sz w:val="16"/>
                <w:szCs w:val="16"/>
                <w:highlight w:val="none"/>
              </w:rPr>
              <w:t>享受条件</w:t>
            </w:r>
            <w:r>
              <w:rPr>
                <w:rFonts w:ascii="宋体" w:hAnsi="宋体"/>
                <w:sz w:val="16"/>
                <w:szCs w:val="16"/>
                <w:highlight w:val="none"/>
              </w:rPr>
              <w:t>人员享受待遇率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时效指标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基础养老金按时足额发放比率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成本指标</w:t>
            </w: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经济成本指标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kern w:val="0"/>
                <w:sz w:val="18"/>
                <w:szCs w:val="18"/>
                <w:highlight w:val="none"/>
              </w:rPr>
              <w:t>企业职工</w:t>
            </w:r>
            <w:r>
              <w:rPr>
                <w:rFonts w:ascii="宋体" w:hAnsi="宋体"/>
                <w:sz w:val="16"/>
                <w:szCs w:val="16"/>
                <w:highlight w:val="none"/>
              </w:rPr>
              <w:t>养老金平均标准</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w:t>
            </w:r>
            <w:r>
              <w:rPr>
                <w:rFonts w:hint="eastAsia" w:ascii="宋体" w:hAnsi="宋体"/>
                <w:sz w:val="16"/>
                <w:szCs w:val="16"/>
                <w:highlight w:val="none"/>
                <w:lang w:val="en-US" w:eastAsia="zh-CN"/>
              </w:rPr>
              <w:t>35</w:t>
            </w:r>
            <w:r>
              <w:rPr>
                <w:rFonts w:ascii="宋体" w:hAnsi="宋体"/>
                <w:sz w:val="16"/>
                <w:szCs w:val="16"/>
                <w:highlight w:val="none"/>
              </w:rPr>
              <w:t>元/人/月</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效益指标</w:t>
            </w: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社会效益指标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kern w:val="0"/>
                <w:sz w:val="18"/>
                <w:szCs w:val="18"/>
                <w:highlight w:val="none"/>
              </w:rPr>
              <w:t>企业职工</w:t>
            </w:r>
            <w:r>
              <w:rPr>
                <w:rFonts w:ascii="宋体" w:hAnsi="宋体"/>
                <w:sz w:val="16"/>
                <w:szCs w:val="16"/>
                <w:highlight w:val="none"/>
              </w:rPr>
              <w:t>基本养老保险可持续发展</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有效推动</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按评判等级赋分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满意度指标</w:t>
            </w:r>
          </w:p>
        </w:tc>
        <w:tc>
          <w:tcPr>
            <w:tcW w:w="680" w:type="dxa"/>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满意度指标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受补助人员满意度</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＞=95%</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满意度赋分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bl>
    <w:p>
      <w:pPr>
        <w:spacing w:line="560" w:lineRule="exact"/>
        <w:jc w:val="center"/>
        <w:rPr>
          <w:rFonts w:hint="eastAsia" w:ascii="仿宋" w:eastAsia="仿宋"/>
          <w:b/>
          <w:sz w:val="28"/>
          <w:szCs w:val="28"/>
          <w:highlight w:val="none"/>
        </w:rPr>
      </w:pPr>
    </w:p>
    <w:p>
      <w:pPr>
        <w:spacing w:line="560" w:lineRule="exact"/>
        <w:jc w:val="center"/>
        <w:rPr>
          <w:rFonts w:hint="eastAsia" w:ascii="仿宋" w:eastAsia="仿宋"/>
          <w:b/>
          <w:sz w:val="28"/>
          <w:szCs w:val="28"/>
          <w:highlight w:val="none"/>
        </w:rPr>
      </w:pPr>
    </w:p>
    <w:p>
      <w:pPr>
        <w:spacing w:line="560" w:lineRule="exact"/>
        <w:jc w:val="center"/>
        <w:rPr>
          <w:rFonts w:hint="eastAsia" w:ascii="仿宋" w:eastAsia="仿宋"/>
          <w:b/>
          <w:sz w:val="28"/>
          <w:szCs w:val="28"/>
          <w:highlight w:val="none"/>
        </w:rPr>
      </w:pPr>
    </w:p>
    <w:p>
      <w:pPr>
        <w:spacing w:line="560" w:lineRule="exact"/>
        <w:jc w:val="center"/>
        <w:rPr>
          <w:rFonts w:hint="eastAsia" w:ascii="仿宋" w:eastAsia="仿宋"/>
          <w:b/>
          <w:sz w:val="28"/>
          <w:szCs w:val="28"/>
          <w:highlight w:val="none"/>
        </w:rPr>
      </w:pPr>
    </w:p>
    <w:p>
      <w:pPr>
        <w:spacing w:line="560" w:lineRule="exact"/>
        <w:jc w:val="center"/>
        <w:rPr>
          <w:rFonts w:hint="eastAsia" w:ascii="仿宋" w:eastAsia="仿宋"/>
          <w:b/>
          <w:sz w:val="28"/>
          <w:szCs w:val="28"/>
          <w:highlight w:val="none"/>
        </w:rPr>
      </w:pPr>
    </w:p>
    <w:p>
      <w:pPr>
        <w:spacing w:line="560" w:lineRule="exact"/>
        <w:jc w:val="center"/>
        <w:rPr>
          <w:rFonts w:hint="eastAsia" w:ascii="仿宋" w:eastAsia="仿宋"/>
          <w:b/>
          <w:sz w:val="28"/>
          <w:szCs w:val="28"/>
          <w:highlight w:val="none"/>
        </w:rPr>
      </w:pPr>
    </w:p>
    <w:p>
      <w:pPr>
        <w:spacing w:line="560" w:lineRule="exact"/>
        <w:jc w:val="center"/>
        <w:rPr>
          <w:rFonts w:hint="eastAsia" w:ascii="仿宋" w:eastAsia="仿宋"/>
          <w:b/>
          <w:sz w:val="28"/>
          <w:szCs w:val="28"/>
          <w:highlight w:val="none"/>
        </w:rPr>
      </w:pPr>
    </w:p>
    <w:p>
      <w:pPr>
        <w:spacing w:line="560" w:lineRule="exact"/>
        <w:jc w:val="center"/>
        <w:rPr>
          <w:rFonts w:hint="eastAsia" w:ascii="仿宋" w:eastAsia="仿宋"/>
          <w:b/>
          <w:sz w:val="28"/>
          <w:szCs w:val="28"/>
          <w:highlight w:val="none"/>
        </w:rPr>
      </w:pPr>
    </w:p>
    <w:p>
      <w:pPr>
        <w:spacing w:line="560" w:lineRule="exact"/>
        <w:jc w:val="center"/>
        <w:rPr>
          <w:rFonts w:ascii="仿宋" w:eastAsia="仿宋"/>
          <w:b/>
          <w:sz w:val="28"/>
          <w:szCs w:val="28"/>
          <w:highlight w:val="none"/>
        </w:rPr>
      </w:pPr>
      <w:r>
        <w:rPr>
          <w:rFonts w:hint="eastAsia" w:ascii="仿宋" w:eastAsia="仿宋"/>
          <w:b/>
          <w:sz w:val="28"/>
          <w:szCs w:val="28"/>
          <w:highlight w:val="none"/>
        </w:rPr>
        <w:t>项目支出绩效目标表</w:t>
      </w:r>
    </w:p>
    <w:p>
      <w:pPr>
        <w:spacing w:line="360" w:lineRule="exact"/>
        <w:jc w:val="center"/>
        <w:rPr>
          <w:rFonts w:ascii="仿宋" w:eastAsia="仿宋"/>
          <w:sz w:val="18"/>
          <w:szCs w:val="18"/>
          <w:highlight w:val="none"/>
        </w:rPr>
      </w:pPr>
      <w:r>
        <w:rPr>
          <w:rFonts w:hint="eastAsia" w:ascii="仿宋" w:eastAsia="仿宋"/>
          <w:sz w:val="18"/>
          <w:szCs w:val="18"/>
          <w:highlight w:val="none"/>
        </w:rPr>
        <w:t>（2025年）</w:t>
      </w:r>
    </w:p>
    <w:tbl>
      <w:tblPr>
        <w:tblStyle w:val="8"/>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预算单位</w:t>
            </w:r>
          </w:p>
        </w:tc>
        <w:tc>
          <w:tcPr>
            <w:tcW w:w="8160" w:type="dxa"/>
            <w:gridSpan w:val="8"/>
            <w:shd w:val="clear" w:color="auto" w:fill="auto"/>
            <w:vAlign w:val="center"/>
          </w:tcPr>
          <w:p>
            <w:pPr>
              <w:jc w:val="center"/>
              <w:rPr>
                <w:sz w:val="18"/>
                <w:szCs w:val="18"/>
                <w:highlight w:val="none"/>
              </w:rPr>
            </w:pPr>
            <w:r>
              <w:rPr>
                <w:rFonts w:hint="eastAsia"/>
                <w:sz w:val="18"/>
                <w:szCs w:val="18"/>
                <w:highlight w:val="none"/>
              </w:rPr>
              <w:t>皮山县社会保险中心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项目名称</w:t>
            </w:r>
          </w:p>
        </w:tc>
        <w:tc>
          <w:tcPr>
            <w:tcW w:w="5440" w:type="dxa"/>
            <w:gridSpan w:val="6"/>
            <w:shd w:val="clear" w:color="auto" w:fill="auto"/>
            <w:vAlign w:val="center"/>
          </w:tcPr>
          <w:p>
            <w:pPr>
              <w:jc w:val="center"/>
              <w:rPr>
                <w:b/>
                <w:sz w:val="18"/>
                <w:szCs w:val="18"/>
                <w:highlight w:val="none"/>
              </w:rPr>
            </w:pPr>
            <w:r>
              <w:rPr>
                <w:rFonts w:hint="eastAsia"/>
                <w:sz w:val="18"/>
                <w:szCs w:val="18"/>
                <w:highlight w:val="none"/>
              </w:rPr>
              <w:t>2025年自治区财政社保经办机构业务补助经费项目</w:t>
            </w:r>
          </w:p>
        </w:tc>
        <w:tc>
          <w:tcPr>
            <w:tcW w:w="1360" w:type="dxa"/>
            <w:shd w:val="clear" w:color="auto" w:fill="auto"/>
            <w:vAlign w:val="center"/>
          </w:tcPr>
          <w:p>
            <w:pPr>
              <w:jc w:val="center"/>
              <w:rPr>
                <w:sz w:val="18"/>
                <w:szCs w:val="18"/>
                <w:highlight w:val="none"/>
              </w:rPr>
            </w:pPr>
            <w:r>
              <w:rPr>
                <w:rFonts w:hint="eastAsia"/>
                <w:b/>
                <w:sz w:val="18"/>
                <w:szCs w:val="18"/>
                <w:highlight w:val="none"/>
              </w:rPr>
              <w:t>项目负责人</w:t>
            </w:r>
          </w:p>
        </w:tc>
        <w:tc>
          <w:tcPr>
            <w:tcW w:w="1360" w:type="dxa"/>
            <w:shd w:val="clear" w:color="auto" w:fill="auto"/>
            <w:vAlign w:val="center"/>
          </w:tcPr>
          <w:p>
            <w:pPr>
              <w:jc w:val="center"/>
              <w:rPr>
                <w:sz w:val="18"/>
                <w:szCs w:val="18"/>
                <w:highlight w:val="none"/>
              </w:rPr>
            </w:pPr>
            <w:r>
              <w:rPr>
                <w:rFonts w:hint="eastAsia"/>
                <w:sz w:val="18"/>
                <w:szCs w:val="18"/>
                <w:highlight w:val="none"/>
              </w:rPr>
              <w:t>王瑞欢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项目资金(万元)</w:t>
            </w:r>
          </w:p>
        </w:tc>
        <w:tc>
          <w:tcPr>
            <w:tcW w:w="1360" w:type="dxa"/>
            <w:shd w:val="clear" w:color="auto" w:fill="auto"/>
            <w:vAlign w:val="center"/>
          </w:tcPr>
          <w:p>
            <w:pPr>
              <w:jc w:val="center"/>
              <w:rPr>
                <w:sz w:val="18"/>
                <w:szCs w:val="18"/>
                <w:highlight w:val="none"/>
              </w:rPr>
            </w:pPr>
            <w:r>
              <w:rPr>
                <w:rFonts w:hint="eastAsia"/>
                <w:sz w:val="18"/>
                <w:szCs w:val="18"/>
                <w:highlight w:val="none"/>
              </w:rPr>
              <w:t>年度预算总额</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3.50</w:t>
            </w:r>
          </w:p>
        </w:tc>
        <w:tc>
          <w:tcPr>
            <w:tcW w:w="1360" w:type="dxa"/>
            <w:shd w:val="clear" w:color="auto" w:fill="auto"/>
            <w:vAlign w:val="center"/>
          </w:tcPr>
          <w:p>
            <w:pPr>
              <w:jc w:val="center"/>
              <w:rPr>
                <w:sz w:val="18"/>
                <w:szCs w:val="18"/>
                <w:highlight w:val="none"/>
              </w:rPr>
            </w:pPr>
            <w:r>
              <w:rPr>
                <w:rFonts w:hint="eastAsia"/>
                <w:sz w:val="18"/>
                <w:szCs w:val="18"/>
                <w:highlight w:val="none"/>
              </w:rPr>
              <w:t>其中：财政拨款</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3.50</w:t>
            </w:r>
          </w:p>
        </w:tc>
        <w:tc>
          <w:tcPr>
            <w:tcW w:w="1360" w:type="dxa"/>
            <w:shd w:val="clear" w:color="auto" w:fill="auto"/>
            <w:vAlign w:val="center"/>
          </w:tcPr>
          <w:p>
            <w:pPr>
              <w:jc w:val="center"/>
              <w:rPr>
                <w:sz w:val="18"/>
                <w:szCs w:val="18"/>
                <w:highlight w:val="none"/>
              </w:rPr>
            </w:pPr>
            <w:r>
              <w:rPr>
                <w:rFonts w:hint="eastAsia"/>
                <w:sz w:val="18"/>
                <w:szCs w:val="18"/>
                <w:highlight w:val="none"/>
              </w:rPr>
              <w:t>其他资金</w:t>
            </w:r>
          </w:p>
        </w:tc>
        <w:tc>
          <w:tcPr>
            <w:tcW w:w="1360" w:type="dxa"/>
            <w:shd w:val="clear" w:color="auto" w:fill="auto"/>
            <w:vAlign w:val="center"/>
          </w:tcPr>
          <w:p>
            <w:pPr>
              <w:jc w:val="center"/>
              <w:rPr>
                <w:sz w:val="18"/>
                <w:szCs w:val="18"/>
                <w:highlight w:val="none"/>
              </w:rPr>
            </w:pPr>
            <w:r>
              <w:rPr>
                <w:rFonts w:hint="eastAsia"/>
                <w:sz w:val="18"/>
                <w:szCs w:val="18"/>
                <w:highlight w:val="none"/>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项目总体目标</w:t>
            </w:r>
          </w:p>
        </w:tc>
        <w:tc>
          <w:tcPr>
            <w:tcW w:w="8160" w:type="dxa"/>
            <w:gridSpan w:val="8"/>
            <w:shd w:val="clear" w:color="auto" w:fill="auto"/>
            <w:vAlign w:val="center"/>
          </w:tcPr>
          <w:p>
            <w:pPr>
              <w:rPr>
                <w:b/>
                <w:sz w:val="18"/>
                <w:szCs w:val="18"/>
                <w:highlight w:val="none"/>
              </w:rPr>
            </w:pPr>
            <w:r>
              <w:rPr>
                <w:rFonts w:hint="eastAsia"/>
                <w:color w:val="000000"/>
                <w:sz w:val="18"/>
                <w:szCs w:val="18"/>
                <w:highlight w:val="none"/>
              </w:rPr>
              <w:t>根据《关于提前下达2025年自治区财政社保经办机构业务补助经费的通知》</w:t>
            </w:r>
            <w:r>
              <w:rPr>
                <w:rFonts w:hint="eastAsia"/>
                <w:color w:val="000000"/>
                <w:sz w:val="18"/>
                <w:szCs w:val="18"/>
                <w:highlight w:val="none"/>
                <w:lang w:eastAsia="zh-CN"/>
              </w:rPr>
              <w:t>（和地财</w:t>
            </w:r>
            <w:r>
              <w:rPr>
                <w:rFonts w:hint="eastAsia"/>
                <w:color w:val="000000"/>
                <w:sz w:val="18"/>
                <w:szCs w:val="18"/>
                <w:highlight w:val="none"/>
              </w:rPr>
              <w:t>社〔2024〕99</w:t>
            </w:r>
            <w:r>
              <w:rPr>
                <w:rFonts w:hint="eastAsia"/>
                <w:color w:val="000000"/>
                <w:sz w:val="18"/>
                <w:szCs w:val="18"/>
                <w:highlight w:val="none"/>
                <w:lang w:eastAsia="zh-CN"/>
              </w:rPr>
              <w:t>号）</w:t>
            </w:r>
            <w:r>
              <w:rPr>
                <w:rFonts w:hint="eastAsia"/>
                <w:color w:val="000000"/>
                <w:sz w:val="18"/>
                <w:szCs w:val="18"/>
                <w:highlight w:val="none"/>
              </w:rPr>
              <w:t>文件要求，确保保障社保经办机构个数1个，通过项目的实施，保障社保经办机构各项工作正常开展，持续为居民提供服务。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040" w:type="dxa"/>
            <w:gridSpan w:val="2"/>
            <w:shd w:val="clear" w:color="auto" w:fill="auto"/>
            <w:vAlign w:val="center"/>
          </w:tcPr>
          <w:p>
            <w:pPr>
              <w:jc w:val="center"/>
              <w:rPr>
                <w:b/>
                <w:sz w:val="18"/>
                <w:szCs w:val="18"/>
                <w:highlight w:val="none"/>
              </w:rPr>
            </w:pPr>
            <w:r>
              <w:rPr>
                <w:rFonts w:hint="eastAsia"/>
                <w:b/>
                <w:sz w:val="18"/>
                <w:szCs w:val="18"/>
                <w:highlight w:val="none"/>
              </w:rPr>
              <w:t>三级指标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指标值设置依据</w:t>
            </w:r>
          </w:p>
        </w:tc>
        <w:tc>
          <w:tcPr>
            <w:tcW w:w="680" w:type="dxa"/>
            <w:shd w:val="clear" w:color="auto" w:fill="auto"/>
            <w:vAlign w:val="center"/>
          </w:tcPr>
          <w:p>
            <w:pPr>
              <w:jc w:val="center"/>
              <w:rPr>
                <w:b/>
                <w:sz w:val="18"/>
                <w:szCs w:val="18"/>
                <w:highlight w:val="none"/>
              </w:rPr>
            </w:pPr>
            <w:r>
              <w:rPr>
                <w:rFonts w:hint="eastAsia"/>
                <w:b/>
                <w:sz w:val="18"/>
                <w:szCs w:val="18"/>
                <w:highlight w:val="none"/>
              </w:rPr>
              <w:t>上年完成值</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指标分值权重</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指标赋分规则</w:t>
            </w:r>
          </w:p>
        </w:tc>
        <w:tc>
          <w:tcPr>
            <w:tcW w:w="1360" w:type="dxa"/>
            <w:shd w:val="clear" w:color="auto" w:fill="auto"/>
            <w:vAlign w:val="center"/>
          </w:tcPr>
          <w:p>
            <w:pPr>
              <w:jc w:val="center"/>
              <w:rPr>
                <w:b/>
                <w:sz w:val="18"/>
                <w:szCs w:val="18"/>
                <w:highlight w:val="none"/>
              </w:rPr>
            </w:pPr>
            <w:r>
              <w:rPr>
                <w:rFonts w:hint="eastAsia"/>
                <w:b/>
                <w:sz w:val="18"/>
                <w:szCs w:val="18"/>
                <w:highlight w:val="none"/>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产出指标</w:t>
            </w: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数量指标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保障社保经办机构个数</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=1个</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质量指标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社保经办机构运转经费保障率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continue"/>
            <w:shd w:val="clear" w:color="auto" w:fill="auto"/>
            <w:vAlign w:val="center"/>
          </w:tcPr>
          <w:p>
            <w:pPr>
              <w:jc w:val="center"/>
              <w:rPr>
                <w:rFonts w:hint="eastAsia" w:ascii="宋体" w:hAnsi="宋体"/>
                <w:sz w:val="16"/>
                <w:szCs w:val="16"/>
                <w:highlight w:val="none"/>
              </w:rPr>
            </w:pP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社保经办机构正常运转率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时效指标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社保经办机构运转经费支付及时率</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成本指标</w:t>
            </w: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经济成本指标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社保经办机构运转经费成本</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＜=3.50万元</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效益指标</w:t>
            </w:r>
          </w:p>
        </w:tc>
        <w:tc>
          <w:tcPr>
            <w:tcW w:w="680" w:type="dxa"/>
            <w:vMerge w:val="restart"/>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社会效益指标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保障社保经办机构运转，持续为居民提供高质量便民服务</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效果明显</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按评判等级赋分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满意度指标</w:t>
            </w:r>
          </w:p>
        </w:tc>
        <w:tc>
          <w:tcPr>
            <w:tcW w:w="680" w:type="dxa"/>
            <w:shd w:val="clear" w:color="auto" w:fill="auto"/>
            <w:vAlign w:val="center"/>
          </w:tcPr>
          <w:p>
            <w:pPr>
              <w:jc w:val="center"/>
              <w:rPr>
                <w:rFonts w:hint="eastAsia" w:ascii="宋体" w:hAnsi="宋体"/>
                <w:sz w:val="16"/>
                <w:szCs w:val="16"/>
                <w:highlight w:val="none"/>
              </w:rPr>
            </w:pPr>
            <w:r>
              <w:rPr>
                <w:rFonts w:ascii="宋体" w:hAnsi="宋体" w:cs="宋体"/>
                <w:sz w:val="16"/>
                <w:szCs w:val="16"/>
                <w:highlight w:val="none"/>
              </w:rPr>
              <w:t>满意度指标</w:t>
            </w:r>
          </w:p>
        </w:tc>
        <w:tc>
          <w:tcPr>
            <w:tcW w:w="2040" w:type="dxa"/>
            <w:gridSpan w:val="2"/>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居民满意度</w:t>
            </w: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＞=95%</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满意度赋分</w:t>
            </w:r>
          </w:p>
        </w:tc>
        <w:tc>
          <w:tcPr>
            <w:tcW w:w="1360" w:type="dxa"/>
            <w:shd w:val="clear" w:color="auto" w:fill="auto"/>
            <w:vAlign w:val="center"/>
          </w:tcPr>
          <w:p>
            <w:pPr>
              <w:jc w:val="center"/>
              <w:rPr>
                <w:rFonts w:hint="eastAsia" w:ascii="宋体" w:hAnsi="宋体"/>
                <w:sz w:val="16"/>
                <w:szCs w:val="16"/>
                <w:highlight w:val="none"/>
              </w:rPr>
            </w:pPr>
            <w:r>
              <w:rPr>
                <w:rFonts w:ascii="宋体" w:hAnsi="宋体"/>
                <w:sz w:val="16"/>
                <w:szCs w:val="16"/>
                <w:highlight w:val="none"/>
              </w:rPr>
              <w:t>工作资料</w:t>
            </w:r>
          </w:p>
        </w:tc>
      </w:tr>
    </w:tbl>
    <w:p>
      <w:pPr>
        <w:rPr>
          <w:highlight w:val="none"/>
        </w:rPr>
      </w:pPr>
    </w:p>
    <w:p>
      <w:pPr>
        <w:pStyle w:val="4"/>
        <w:numPr>
          <w:ilvl w:val="0"/>
          <w:numId w:val="3"/>
        </w:numPr>
        <w:spacing w:before="0" w:after="0" w:line="560" w:lineRule="exact"/>
        <w:ind w:left="0" w:firstLine="562" w:firstLineChars="201"/>
        <w:rPr>
          <w:rFonts w:ascii="楷体" w:eastAsia="楷体"/>
          <w:sz w:val="28"/>
          <w:szCs w:val="28"/>
          <w:highlight w:val="none"/>
        </w:rPr>
      </w:pPr>
      <w:r>
        <w:rPr>
          <w:rFonts w:ascii="楷体" w:eastAsia="楷体"/>
          <w:sz w:val="28"/>
          <w:szCs w:val="28"/>
          <w:highlight w:val="none"/>
        </w:rPr>
        <w:t>其他需说明的事项</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lang w:eastAsia="zh-CN"/>
        </w:rPr>
        <w:t>本部门</w:t>
      </w:r>
      <w:r>
        <w:rPr>
          <w:rFonts w:hint="eastAsia" w:ascii="仿宋" w:hAnsi="微软雅黑" w:eastAsia="仿宋"/>
          <w:sz w:val="28"/>
          <w:szCs w:val="28"/>
          <w:highlight w:val="none"/>
          <w:lang w:val="en-US" w:eastAsia="zh-CN"/>
        </w:rPr>
        <w:t>50万元资金为上解资金，不做项目绩效目标表</w:t>
      </w:r>
      <w:bookmarkStart w:id="0" w:name="_GoBack"/>
      <w:bookmarkEnd w:id="0"/>
      <w:r>
        <w:rPr>
          <w:rFonts w:hint="eastAsia" w:ascii="仿宋" w:hAnsi="微软雅黑" w:eastAsia="仿宋"/>
          <w:sz w:val="28"/>
          <w:szCs w:val="28"/>
          <w:highlight w:val="none"/>
        </w:rPr>
        <w:t>。</w:t>
      </w:r>
    </w:p>
    <w:p>
      <w:pPr>
        <w:pStyle w:val="2"/>
        <w:spacing w:before="156" w:beforeLines="50" w:after="156" w:afterLines="50" w:line="560" w:lineRule="exact"/>
        <w:jc w:val="center"/>
        <w:rPr>
          <w:rFonts w:ascii="黑体" w:eastAsia="黑体"/>
          <w:sz w:val="30"/>
          <w:szCs w:val="30"/>
          <w:highlight w:val="none"/>
        </w:rPr>
      </w:pPr>
      <w:r>
        <w:rPr>
          <w:rFonts w:ascii="黑体" w:eastAsia="黑体"/>
          <w:sz w:val="30"/>
          <w:szCs w:val="30"/>
          <w:highlight w:val="none"/>
        </w:rPr>
        <w:br w:type="page"/>
      </w:r>
      <w:r>
        <w:rPr>
          <w:rFonts w:hint="eastAsia" w:ascii="黑体" w:eastAsia="黑体"/>
          <w:sz w:val="30"/>
          <w:szCs w:val="30"/>
          <w:highlight w:val="none"/>
        </w:rPr>
        <w:t>第四部分 名词解释</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一、财政拨款:</w:t>
      </w:r>
      <w:r>
        <w:rPr>
          <w:rFonts w:hint="eastAsia" w:ascii="仿宋" w:hAnsi="CIDFont+F6" w:eastAsia="仿宋"/>
          <w:color w:val="000000"/>
          <w:sz w:val="28"/>
          <w:szCs w:val="28"/>
          <w:highlight w:val="none"/>
        </w:rPr>
        <w:t>指由一般公共预算、政府性基金预算、国有资本经营预算安排的财政拨款数。</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二、一般公共预算:</w:t>
      </w:r>
      <w:r>
        <w:rPr>
          <w:rFonts w:hint="eastAsia" w:ascii="仿宋" w:hAnsi="CIDFont+F6" w:eastAsia="仿宋"/>
          <w:color w:val="000000"/>
          <w:sz w:val="28"/>
          <w:szCs w:val="28"/>
          <w:highlight w:val="none"/>
        </w:rPr>
        <w:t>包括公共财政拨款（补助）资金、专项收入。</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三、财政专户管理资金:</w:t>
      </w:r>
      <w:r>
        <w:rPr>
          <w:rFonts w:hint="eastAsia" w:ascii="仿宋" w:hAnsi="CIDFont+F6" w:eastAsia="仿宋"/>
          <w:color w:val="000000"/>
          <w:sz w:val="28"/>
          <w:szCs w:val="28"/>
          <w:highlight w:val="none"/>
        </w:rPr>
        <w:t>包括专户管理行政事业性收费（主要是教育收费）、其他非税收入。</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四、其他资金:</w:t>
      </w:r>
      <w:r>
        <w:rPr>
          <w:rFonts w:hint="eastAsia" w:ascii="仿宋" w:hAnsi="CIDFont+F6" w:eastAsia="仿宋"/>
          <w:color w:val="000000"/>
          <w:sz w:val="28"/>
          <w:szCs w:val="28"/>
          <w:highlight w:val="none"/>
        </w:rPr>
        <w:t>包括事业收入、事业经营收入、其他收入等。</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五、基本支出:</w:t>
      </w:r>
      <w:r>
        <w:rPr>
          <w:rFonts w:hint="eastAsia" w:ascii="仿宋" w:hAnsi="CIDFont+F6" w:eastAsia="仿宋"/>
          <w:color w:val="000000"/>
          <w:sz w:val="28"/>
          <w:szCs w:val="28"/>
          <w:highlight w:val="none"/>
        </w:rPr>
        <w:t>包括人员经费、公用经费（定额）。其中，人员经费包括工资福利支出、对个人和家庭的补助。</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六、项目支出:</w:t>
      </w:r>
      <w:r>
        <w:rPr>
          <w:rFonts w:hint="eastAsia" w:ascii="仿宋" w:hAnsi="CIDFont+F6" w:eastAsia="仿宋"/>
          <w:color w:val="000000"/>
          <w:sz w:val="28"/>
          <w:szCs w:val="28"/>
          <w:highlight w:val="none"/>
        </w:rPr>
        <w:t>部门（单位）支出预算的组成部分，是各部门（单位）为完成其特定的行政任务或事业发展目标，在基本支出预算之外编制的年度项目支出计划。</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七、“三公”经费:</w:t>
      </w:r>
      <w:r>
        <w:rPr>
          <w:rFonts w:hint="eastAsia" w:ascii="仿宋" w:hAnsi="CIDFont+F6" w:eastAsia="仿宋"/>
          <w:color w:val="000000"/>
          <w:sz w:val="28"/>
          <w:szCs w:val="28"/>
          <w:highlight w:val="none"/>
        </w:rPr>
        <w:t>指部门（单位）因公出国（境）费、公务用车购置及运行维护费和公务接待费，其中:因公出国（境）费反映机关和参公事业单位公务出国（境）的国际旅费、国外城市间交通费、住宿费、伙食费、培训费、公杂费等支出；公务用车购置反映机关和参公事业单位公务用车购置支出（含车辆购置税、牌照费）；公务用车运行维护费反映机关和参公事业单位按规定保留的公务用车燃料费、新能源汽车充电费、维修费、过桥过路费、保险费、安全奖励费用等支出；公务接待费反映机关和参公事业单位按规定开支的各类公务接待（含外宾接待）费用。</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八、机关运行经费:</w:t>
      </w:r>
      <w:r>
        <w:rPr>
          <w:rFonts w:hint="eastAsia" w:ascii="仿宋" w:hAnsi="CIDFont+F6" w:eastAsia="仿宋"/>
          <w:color w:val="000000"/>
          <w:sz w:val="28"/>
          <w:szCs w:val="28"/>
          <w:highlight w:val="none"/>
        </w:rPr>
        <w:t>指行政单位（含参照公务员法管理事业单位）的公用经费，包括办公及印刷费、邮电费、差旅费、会议费、福利费、日常维修费、专用材料及一般设备购置费、办公用房水电费、办公用房取暖费、办公用房物业管理费、公务用车运行维护费及其他费用。</w:t>
      </w:r>
    </w:p>
    <w:p>
      <w:pPr>
        <w:spacing w:line="560" w:lineRule="exact"/>
        <w:jc w:val="right"/>
        <w:rPr>
          <w:rFonts w:hint="eastAsia" w:ascii="仿宋" w:hAnsi="CIDFont+F6" w:eastAsia="仿宋"/>
          <w:color w:val="000000"/>
          <w:sz w:val="28"/>
          <w:szCs w:val="28"/>
          <w:highlight w:val="none"/>
        </w:rPr>
      </w:pPr>
      <w:r>
        <w:rPr>
          <w:rFonts w:hint="eastAsia" w:ascii="仿宋" w:hAnsi="CIDFont+F6" w:eastAsia="仿宋"/>
          <w:color w:val="000000"/>
          <w:sz w:val="28"/>
          <w:szCs w:val="28"/>
          <w:highlight w:val="none"/>
        </w:rPr>
        <w:t>皮山县社会保险服务中心</w:t>
      </w:r>
    </w:p>
    <w:p>
      <w:pPr>
        <w:spacing w:line="560" w:lineRule="exact"/>
        <w:jc w:val="right"/>
        <w:rPr>
          <w:rFonts w:ascii="仿宋" w:eastAsia="仿宋"/>
          <w:sz w:val="28"/>
          <w:szCs w:val="28"/>
          <w:highlight w:val="none"/>
        </w:rPr>
      </w:pPr>
      <w:r>
        <w:rPr>
          <w:rFonts w:hint="eastAsia" w:ascii="仿宋" w:hAnsi="CIDFont+F6" w:eastAsia="仿宋"/>
          <w:color w:val="000000"/>
          <w:sz w:val="28"/>
          <w:szCs w:val="28"/>
          <w:highlight w:val="none"/>
        </w:rPr>
        <w:t>2025年2月8日</w:t>
      </w:r>
    </w:p>
    <w:sectPr>
      <w:pgSz w:w="11906" w:h="16838"/>
      <w:pgMar w:top="1134" w:right="1134" w:bottom="1134" w:left="113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UnicodeM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CIDFont+F6">
    <w:altName w:val="Times New Roman"/>
    <w:panose1 w:val="00000000000000000000"/>
    <w:charset w:val="00"/>
    <w:family w:val="auto"/>
    <w:pitch w:val="default"/>
    <w:sig w:usb0="00000000" w:usb1="00000000" w:usb2="00000000" w:usb3="00000000" w:csb0="00000000" w:csb1="00000000"/>
  </w:font>
  <w:font w:name="CIDFont+F4">
    <w:altName w:val="Times New Roman"/>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3"/>
        <w:tab w:val="right" w:pos="8306"/>
      </w:tabs>
      <w:jc w:val="center"/>
    </w:pPr>
    <w:r>
      <w:fldChar w:fldCharType="begin"/>
    </w:r>
    <w:r>
      <w:instrText xml:space="preserve">PAGE   \* MERGEFORMAT</w:instrText>
    </w:r>
    <w:r>
      <w:fldChar w:fldCharType="separate"/>
    </w:r>
    <w:r>
      <w:rPr>
        <w:lang w:val="zh-CN"/>
      </w:rPr>
      <w:t>17</w:t>
    </w:r>
    <w:r>
      <w:fldChar w:fldCharType="end"/>
    </w:r>
  </w:p>
  <w:p>
    <w:pPr>
      <w:pStyle w:val="5"/>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57379"/>
    <w:multiLevelType w:val="multilevel"/>
    <w:tmpl w:val="1D557379"/>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5404A0C"/>
    <w:multiLevelType w:val="multilevel"/>
    <w:tmpl w:val="25404A0C"/>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F532E1F"/>
    <w:multiLevelType w:val="multilevel"/>
    <w:tmpl w:val="2F532E1F"/>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5B6"/>
    <w:rsid w:val="001818AE"/>
    <w:rsid w:val="00AA7661"/>
    <w:rsid w:val="00C805B6"/>
    <w:rsid w:val="00EC5330"/>
    <w:rsid w:val="05DA6531"/>
    <w:rsid w:val="06393383"/>
    <w:rsid w:val="106A0DD4"/>
    <w:rsid w:val="13522AB8"/>
    <w:rsid w:val="15504DAA"/>
    <w:rsid w:val="1B9B3247"/>
    <w:rsid w:val="1C4B6736"/>
    <w:rsid w:val="1DD94BF0"/>
    <w:rsid w:val="1E3E3F2B"/>
    <w:rsid w:val="225F170D"/>
    <w:rsid w:val="22FA0EB0"/>
    <w:rsid w:val="284217AC"/>
    <w:rsid w:val="296753B3"/>
    <w:rsid w:val="29B277F5"/>
    <w:rsid w:val="2AA66DAE"/>
    <w:rsid w:val="305F48A4"/>
    <w:rsid w:val="35C673C5"/>
    <w:rsid w:val="3BC10995"/>
    <w:rsid w:val="3E7E25E1"/>
    <w:rsid w:val="429B3A34"/>
    <w:rsid w:val="45E67E13"/>
    <w:rsid w:val="55853318"/>
    <w:rsid w:val="55FC469E"/>
    <w:rsid w:val="5EE57045"/>
    <w:rsid w:val="67B61009"/>
    <w:rsid w:val="6C444EEA"/>
    <w:rsid w:val="6F5544EB"/>
    <w:rsid w:val="712460A2"/>
    <w:rsid w:val="743F550C"/>
    <w:rsid w:val="75910F1D"/>
    <w:rsid w:val="78400913"/>
  </w:rsids>
  <m:mathPr>
    <m:mathFont m:val="Cambria Math"/>
    <m:brkBin m:val="before"/>
    <m:brkBinSub m:val="--"/>
    <m:smallFrac m:val="0"/>
    <m:dispDef/>
    <m:lMargin m:val="0"/>
    <m:rMargin m:val="0"/>
    <m:defJc m:val="centerGroup"/>
    <m:wrapIndent m:val="1440"/>
    <m:intLim m:val="subSup"/>
    <m:naryLim m:val="undOvr"/>
  </m:mathPr>
  <w:attachedSchema w:val="http://www.wps.cn/officeDocument/2013/wpsCustomData"/>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outlineLvl w:val="0"/>
    </w:pPr>
    <w:rPr>
      <w:rFonts w:ascii="Times New Roman" w:hAnsi="Times New Roman"/>
      <w:b/>
      <w:kern w:val="44"/>
      <w:sz w:val="44"/>
      <w:szCs w:val="44"/>
    </w:rPr>
  </w:style>
  <w:style w:type="paragraph" w:styleId="3">
    <w:name w:val="heading 2"/>
    <w:basedOn w:val="1"/>
    <w:next w:val="1"/>
    <w:link w:val="12"/>
    <w:qFormat/>
    <w:uiPriority w:val="0"/>
    <w:pPr>
      <w:keepNext/>
      <w:keepLines/>
      <w:spacing w:before="260" w:after="260" w:line="416" w:lineRule="auto"/>
      <w:outlineLvl w:val="1"/>
    </w:pPr>
    <w:rPr>
      <w:rFonts w:ascii="Cambria" w:hAnsi="Cambria"/>
      <w:b/>
      <w:sz w:val="32"/>
      <w:szCs w:val="32"/>
    </w:rPr>
  </w:style>
  <w:style w:type="paragraph" w:styleId="4">
    <w:name w:val="heading 3"/>
    <w:basedOn w:val="1"/>
    <w:next w:val="1"/>
    <w:link w:val="13"/>
    <w:qFormat/>
    <w:uiPriority w:val="0"/>
    <w:pPr>
      <w:keepNext/>
      <w:keepLines/>
      <w:spacing w:before="260" w:after="260" w:line="416" w:lineRule="auto"/>
      <w:outlineLvl w:val="2"/>
    </w:pPr>
    <w:rPr>
      <w:rFonts w:ascii="Times New Roman" w:hAnsi="Times New Roman"/>
      <w:b/>
      <w:sz w:val="32"/>
      <w:szCs w:val="32"/>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5"/>
    <w:uiPriority w:val="0"/>
    <w:pPr>
      <w:snapToGrid w:val="0"/>
      <w:jc w:val="left"/>
    </w:pPr>
    <w:rPr>
      <w:sz w:val="18"/>
      <w:szCs w:val="18"/>
    </w:rPr>
  </w:style>
  <w:style w:type="paragraph" w:styleId="6">
    <w:name w:val="header"/>
    <w:basedOn w:val="1"/>
    <w:link w:val="14"/>
    <w:qFormat/>
    <w:uiPriority w:val="0"/>
    <w:pPr>
      <w:pBdr>
        <w:bottom w:val="single" w:color="auto" w:sz="6" w:space="1"/>
      </w:pBdr>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0"/>
    <w:pPr>
      <w:ind w:firstLine="420" w:firstLineChars="200"/>
    </w:pPr>
  </w:style>
  <w:style w:type="character" w:customStyle="1" w:styleId="11">
    <w:name w:val="标题 1 字符"/>
    <w:link w:val="2"/>
    <w:qFormat/>
    <w:uiPriority w:val="0"/>
    <w:rPr>
      <w:rFonts w:hint="default" w:ascii="Times New Roman" w:hAnsi="Times New Roman"/>
      <w:b/>
      <w:kern w:val="44"/>
      <w:sz w:val="44"/>
      <w:szCs w:val="44"/>
    </w:rPr>
  </w:style>
  <w:style w:type="character" w:customStyle="1" w:styleId="12">
    <w:name w:val="标题 2 字符"/>
    <w:link w:val="3"/>
    <w:qFormat/>
    <w:uiPriority w:val="0"/>
    <w:rPr>
      <w:rFonts w:hint="default" w:ascii="Cambria" w:hAnsi="Cambria"/>
      <w:b/>
      <w:kern w:val="2"/>
      <w:sz w:val="32"/>
      <w:szCs w:val="32"/>
    </w:rPr>
  </w:style>
  <w:style w:type="character" w:customStyle="1" w:styleId="13">
    <w:name w:val="标题 3 字符"/>
    <w:link w:val="4"/>
    <w:qFormat/>
    <w:uiPriority w:val="0"/>
    <w:rPr>
      <w:rFonts w:hint="default" w:ascii="Times New Roman" w:hAnsi="Times New Roman"/>
      <w:b/>
      <w:kern w:val="2"/>
      <w:sz w:val="32"/>
      <w:szCs w:val="32"/>
    </w:rPr>
  </w:style>
  <w:style w:type="character" w:customStyle="1" w:styleId="14">
    <w:name w:val="页眉 字符"/>
    <w:link w:val="6"/>
    <w:qFormat/>
    <w:uiPriority w:val="0"/>
    <w:rPr>
      <w:kern w:val="2"/>
      <w:sz w:val="18"/>
      <w:szCs w:val="18"/>
    </w:rPr>
  </w:style>
  <w:style w:type="character" w:customStyle="1" w:styleId="15">
    <w:name w:val="页脚 字符"/>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beijing</Company>
  <Pages>29</Pages>
  <Words>923</Words>
  <Characters>978</Characters>
  <Lines>118</Lines>
  <Paragraphs>33</Paragraphs>
  <TotalTime>6</TotalTime>
  <ScaleCrop>false</ScaleCrop>
  <LinksUpToDate>false</LinksUpToDate>
  <CharactersWithSpaces>1012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2025-05-22T09:44:00Z</dcterms:created>
  <dc:creator>home</dc:creator>
  <cp:lastModifiedBy>Administrator</cp:lastModifiedBy>
  <dcterms:modified xsi:type="dcterms:W3CDTF">2025-10-30T03:54:55Z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eyJoZGlkIjoiNTE2YTlkZWUwNjhmMjliZjk4ZGRhZjhlNWY5Mjg2MjgiLCJ1c2VySWQiOiI2Nzc0OTIzODgifQ==</vt:lpwstr>
  </property>
  <property fmtid="{D5CDD505-2E9C-101B-9397-08002B2CF9AE}" pid="3" name="KSOProductBuildVer">
    <vt:lpwstr>2052-10.8.2.6837</vt:lpwstr>
  </property>
  <property fmtid="{D5CDD505-2E9C-101B-9397-08002B2CF9AE}" pid="4" name="ICV">
    <vt:lpwstr>DB39627E296143B8BD817498298ACE5B_13</vt:lpwstr>
  </property>
</Properties>
</file>