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ArialUnicodeMS" w:eastAsia="黑体"/>
          <w:color w:val="000000"/>
          <w:sz w:val="44"/>
          <w:szCs w:val="44"/>
          <w:highlight w:val="none"/>
        </w:rPr>
      </w:pPr>
    </w:p>
    <w:p>
      <w:pPr>
        <w:jc w:val="center"/>
        <w:rPr>
          <w:rFonts w:hint="eastAsia" w:ascii="黑体" w:hAnsi="ArialUnicodeMS" w:eastAsia="黑体"/>
          <w:color w:val="000000"/>
          <w:sz w:val="44"/>
          <w:szCs w:val="44"/>
          <w:highlight w:val="none"/>
        </w:rPr>
      </w:pPr>
    </w:p>
    <w:p>
      <w:pPr>
        <w:jc w:val="center"/>
        <w:rPr>
          <w:rFonts w:hint="eastAsia" w:ascii="黑体" w:hAnsi="ArialUnicodeMS" w:eastAsia="黑体"/>
          <w:color w:val="000000"/>
          <w:sz w:val="44"/>
          <w:szCs w:val="44"/>
          <w:highlight w:val="none"/>
        </w:rPr>
      </w:pPr>
    </w:p>
    <w:p>
      <w:pPr>
        <w:jc w:val="center"/>
        <w:rPr>
          <w:rFonts w:hint="eastAsia" w:ascii="黑体" w:hAnsi="ArialUnicodeMS" w:eastAsia="黑体"/>
          <w:color w:val="000000"/>
          <w:sz w:val="44"/>
          <w:szCs w:val="44"/>
          <w:highlight w:val="none"/>
        </w:rPr>
      </w:pPr>
    </w:p>
    <w:p>
      <w:pPr>
        <w:jc w:val="center"/>
        <w:rPr>
          <w:rFonts w:hint="eastAsia" w:ascii="黑体" w:hAnsi="ArialUnicodeMS" w:eastAsia="黑体"/>
          <w:color w:val="000000"/>
          <w:sz w:val="44"/>
          <w:szCs w:val="44"/>
          <w:highlight w:val="none"/>
        </w:rPr>
      </w:pPr>
      <w:r>
        <w:rPr>
          <w:rFonts w:hint="eastAsia" w:ascii="黑体" w:hAnsi="ArialUnicodeMS" w:eastAsia="黑体"/>
          <w:color w:val="000000"/>
          <w:sz w:val="44"/>
          <w:szCs w:val="44"/>
          <w:highlight w:val="none"/>
        </w:rPr>
        <w:t>皮山县木奎拉乡卫生院</w:t>
      </w:r>
    </w:p>
    <w:p>
      <w:pPr>
        <w:jc w:val="center"/>
        <w:rPr>
          <w:rFonts w:hint="eastAsia" w:ascii="黑体" w:hAnsi="ArialUnicodeMS" w:eastAsia="黑体"/>
          <w:color w:val="000000"/>
          <w:sz w:val="44"/>
          <w:szCs w:val="44"/>
          <w:highlight w:val="none"/>
        </w:rPr>
      </w:pPr>
    </w:p>
    <w:p>
      <w:pPr>
        <w:jc w:val="center"/>
        <w:rPr>
          <w:rFonts w:hint="eastAsia" w:ascii="黑体" w:hAnsi="ArialUnicodeMS" w:eastAsia="黑体"/>
          <w:color w:val="000000"/>
          <w:sz w:val="44"/>
          <w:szCs w:val="44"/>
          <w:highlight w:val="none"/>
        </w:rPr>
      </w:pPr>
      <w:r>
        <w:rPr>
          <w:rFonts w:hint="eastAsia" w:ascii="黑体" w:hAnsi="ArialUnicodeMS" w:eastAsia="黑体"/>
          <w:color w:val="000000"/>
          <w:sz w:val="44"/>
          <w:szCs w:val="44"/>
          <w:highlight w:val="none"/>
        </w:rPr>
        <w:t>2025年部门预算公开</w:t>
      </w:r>
    </w:p>
    <w:p>
      <w:pPr>
        <w:jc w:val="center"/>
        <w:rPr>
          <w:rFonts w:hint="default" w:ascii="黑体" w:eastAsia="黑体"/>
          <w:color w:val="000000"/>
          <w:sz w:val="36"/>
          <w:szCs w:val="36"/>
          <w:highlight w:val="none"/>
        </w:rPr>
      </w:pPr>
      <w:r>
        <w:rPr>
          <w:rFonts w:hint="eastAsia" w:ascii="ArialUnicodeMS" w:hAnsi="ArialUnicodeMS"/>
          <w:color w:val="000000"/>
          <w:sz w:val="44"/>
          <w:szCs w:val="44"/>
          <w:highlight w:val="none"/>
        </w:rPr>
        <w:br w:type="page"/>
      </w:r>
      <w:r>
        <w:rPr>
          <w:rFonts w:hint="eastAsia" w:ascii="黑体" w:eastAsia="黑体"/>
          <w:color w:val="000000"/>
          <w:sz w:val="36"/>
          <w:szCs w:val="36"/>
          <w:highlight w:val="none"/>
        </w:rPr>
        <w:t>目 录</w:t>
      </w:r>
    </w:p>
    <w:p>
      <w:pPr>
        <w:spacing w:line="560" w:lineRule="exact"/>
        <w:jc w:val="center"/>
        <w:rPr>
          <w:rFonts w:hint="default" w:ascii="黑体" w:eastAsia="黑体"/>
          <w:color w:val="000000"/>
          <w:sz w:val="36"/>
          <w:szCs w:val="36"/>
          <w:highlight w:val="none"/>
        </w:rPr>
      </w:pPr>
    </w:p>
    <w:p>
      <w:pPr>
        <w:spacing w:line="560" w:lineRule="exact"/>
        <w:ind w:firstLine="562" w:firstLineChars="200"/>
        <w:jc w:val="left"/>
        <w:rPr>
          <w:rFonts w:hint="eastAsia" w:ascii="仿宋" w:hAnsi="仿宋" w:eastAsia="仿宋"/>
          <w:b/>
          <w:color w:val="000000"/>
          <w:sz w:val="28"/>
          <w:szCs w:val="28"/>
          <w:highlight w:val="none"/>
        </w:rPr>
      </w:pPr>
      <w:r>
        <w:rPr>
          <w:rFonts w:hint="eastAsia" w:ascii="仿宋" w:hAnsi="仿宋" w:eastAsia="仿宋"/>
          <w:b/>
          <w:color w:val="000000"/>
          <w:sz w:val="28"/>
          <w:szCs w:val="28"/>
          <w:highlight w:val="none"/>
        </w:rPr>
        <w:t>第一部分  2025年部门概况</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一、 主要职能</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二、 机构设置及人员情况</w:t>
      </w:r>
    </w:p>
    <w:p>
      <w:pPr>
        <w:spacing w:line="560" w:lineRule="exact"/>
        <w:ind w:firstLine="562" w:firstLineChars="200"/>
        <w:jc w:val="left"/>
        <w:rPr>
          <w:rFonts w:hint="eastAsia" w:ascii="仿宋" w:hAnsi="仿宋" w:eastAsia="仿宋"/>
          <w:b/>
          <w:color w:val="000000"/>
          <w:sz w:val="28"/>
          <w:szCs w:val="28"/>
          <w:highlight w:val="none"/>
        </w:rPr>
      </w:pPr>
      <w:r>
        <w:rPr>
          <w:rFonts w:hint="eastAsia" w:ascii="仿宋" w:hAnsi="仿宋" w:eastAsia="仿宋"/>
          <w:b/>
          <w:color w:val="000000"/>
          <w:sz w:val="28"/>
          <w:szCs w:val="28"/>
          <w:highlight w:val="none"/>
        </w:rPr>
        <w:t>第二部分 2025年部门预算公开表</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一、 部门收支总体情况表</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二、 部门收入总体情况表</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三、 部门支出总体情况表</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四、 财政拨款收支预算总体情况表</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五、 一般公共预算支出情况表</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六、 一般公共预算基本支出情况表</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七、 一般公共预算项目支出情况表</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八、 政府性基金预算支出情况表</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九、 国有资本经营预算支出情况表</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十、 财政拨款“三公”经费支出情况表</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十一、 上年结转结余情况明细表</w:t>
      </w:r>
    </w:p>
    <w:p>
      <w:pPr>
        <w:spacing w:line="560" w:lineRule="exact"/>
        <w:ind w:firstLine="562" w:firstLineChars="200"/>
        <w:jc w:val="left"/>
        <w:rPr>
          <w:rFonts w:hint="eastAsia" w:ascii="仿宋" w:hAnsi="仿宋" w:eastAsia="仿宋"/>
          <w:b/>
          <w:color w:val="000000"/>
          <w:sz w:val="28"/>
          <w:szCs w:val="28"/>
          <w:highlight w:val="none"/>
        </w:rPr>
      </w:pPr>
      <w:r>
        <w:rPr>
          <w:rFonts w:hint="eastAsia" w:ascii="仿宋" w:hAnsi="仿宋" w:eastAsia="仿宋"/>
          <w:b/>
          <w:color w:val="000000"/>
          <w:sz w:val="28"/>
          <w:szCs w:val="28"/>
          <w:highlight w:val="none"/>
        </w:rPr>
        <w:t>第三部分 2025年部门预算情况说明</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一、 关于皮山县木奎拉乡卫生院2025年收支预算情况的总体说明</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二、 关于皮山县木奎拉乡卫生院2025年收入预算情况说明</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三、 关于皮山县木奎拉乡卫生院2025年支出预算情况说明</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四、 关于皮山县木奎拉乡卫生院2025年财政拨款收支预算情况的总体说明</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五、 关于皮山县木奎拉乡卫生院2025年一般公共预算当年拨款情况说明</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六、 关于皮山县木奎拉乡卫生院2025年一般公共预算基本支出情况说明</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七、 关于皮山县木奎拉乡卫生院2025年一般公共预算项目支出情况说明</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八、 关于皮山县木奎拉乡卫生院2025年政府性基金预算拨款情况说明</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九、 关于皮山县木奎拉乡卫生院2025年国有资本经营预算拨款情况说明</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十、 关于皮山县木奎拉乡卫生院2025年财政拨款“三公”经费预算情况说明</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十一、 关于皮山县木奎拉乡卫生院2025年上年结转结余预算情况说明</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十二、 其他重要事项的情况说明</w:t>
      </w:r>
    </w:p>
    <w:p>
      <w:pPr>
        <w:spacing w:line="560" w:lineRule="exact"/>
        <w:ind w:firstLine="562" w:firstLineChars="200"/>
        <w:jc w:val="left"/>
        <w:rPr>
          <w:rFonts w:hint="eastAsia" w:ascii="仿宋" w:hAnsi="仿宋" w:eastAsia="仿宋"/>
          <w:b/>
          <w:color w:val="000000"/>
          <w:sz w:val="28"/>
          <w:szCs w:val="28"/>
          <w:highlight w:val="none"/>
        </w:rPr>
      </w:pPr>
      <w:r>
        <w:rPr>
          <w:rFonts w:hint="eastAsia" w:ascii="仿宋" w:hAnsi="仿宋" w:eastAsia="仿宋"/>
          <w:b/>
          <w:color w:val="000000"/>
          <w:sz w:val="28"/>
          <w:szCs w:val="28"/>
          <w:highlight w:val="none"/>
        </w:rPr>
        <w:t>第四部分 名词解释</w:t>
      </w:r>
    </w:p>
    <w:p>
      <w:pPr>
        <w:jc w:val="left"/>
        <w:rPr>
          <w:rFonts w:hint="default" w:ascii="宋体" w:hAnsi="宋体"/>
          <w:color w:val="000000"/>
          <w:sz w:val="18"/>
          <w:szCs w:val="18"/>
          <w:highlight w:val="none"/>
        </w:rPr>
      </w:pPr>
    </w:p>
    <w:p>
      <w:pPr>
        <w:pStyle w:val="2"/>
        <w:spacing w:before="156" w:beforeLines="50" w:after="156" w:afterLines="50" w:line="560" w:lineRule="exact"/>
        <w:jc w:val="center"/>
        <w:rPr>
          <w:rFonts w:hint="default" w:ascii="黑体" w:eastAsia="黑体"/>
          <w:sz w:val="30"/>
          <w:szCs w:val="30"/>
          <w:highlight w:val="none"/>
        </w:rPr>
      </w:pPr>
      <w:r>
        <w:rPr>
          <w:rFonts w:hint="default" w:ascii="黑体" w:eastAsia="黑体"/>
          <w:sz w:val="30"/>
          <w:szCs w:val="30"/>
          <w:highlight w:val="none"/>
        </w:rPr>
        <w:br w:type="page"/>
      </w:r>
      <w:r>
        <w:rPr>
          <w:rFonts w:hint="eastAsia" w:ascii="黑体" w:eastAsia="黑体"/>
          <w:sz w:val="30"/>
          <w:szCs w:val="30"/>
          <w:highlight w:val="none"/>
        </w:rPr>
        <w:t>第一部分  2025年部门概况</w:t>
      </w:r>
    </w:p>
    <w:p>
      <w:pPr>
        <w:pStyle w:val="3"/>
        <w:numPr>
          <w:ilvl w:val="0"/>
          <w:numId w:val="1"/>
        </w:numPr>
        <w:spacing w:before="0" w:after="0" w:line="560" w:lineRule="exact"/>
        <w:ind w:left="0" w:firstLine="565" w:firstLineChars="201"/>
        <w:rPr>
          <w:rFonts w:hint="default" w:ascii="仿宋" w:hAnsi="华文楷体" w:eastAsia="仿宋"/>
          <w:sz w:val="28"/>
          <w:szCs w:val="28"/>
          <w:highlight w:val="none"/>
        </w:rPr>
      </w:pPr>
      <w:r>
        <w:rPr>
          <w:rFonts w:hint="eastAsia" w:ascii="仿宋" w:hAnsi="华文楷体" w:eastAsia="仿宋"/>
          <w:sz w:val="28"/>
          <w:szCs w:val="28"/>
          <w:highlight w:val="none"/>
        </w:rPr>
        <w:t>主要职能</w:t>
      </w:r>
    </w:p>
    <w:p>
      <w:pPr>
        <w:pStyle w:val="8"/>
        <w:spacing w:line="560" w:lineRule="exact"/>
        <w:ind w:firstLine="560"/>
        <w:rPr>
          <w:rFonts w:hint="eastAsia" w:ascii="仿宋" w:hAnsi="仿宋" w:eastAsia="仿宋"/>
          <w:color w:val="000000"/>
          <w:sz w:val="28"/>
          <w:szCs w:val="28"/>
          <w:highlight w:val="none"/>
          <w:lang w:eastAsia="zh-CN"/>
        </w:rPr>
      </w:pPr>
      <w:r>
        <w:rPr>
          <w:rFonts w:hint="eastAsia" w:ascii="仿宋" w:hAnsi="仿宋" w:eastAsia="仿宋"/>
          <w:color w:val="000000"/>
          <w:sz w:val="28"/>
          <w:szCs w:val="28"/>
          <w:highlight w:val="none"/>
        </w:rPr>
        <w:t>1.贯彻落实好自治区及地区的对预防工作的安排部署，提升疾病预防能力</w:t>
      </w:r>
      <w:r>
        <w:rPr>
          <w:rFonts w:hint="eastAsia" w:ascii="仿宋" w:hAnsi="仿宋" w:eastAsia="仿宋"/>
          <w:color w:val="000000"/>
          <w:sz w:val="28"/>
          <w:szCs w:val="28"/>
          <w:highlight w:val="none"/>
          <w:lang w:val="en-US" w:eastAsia="zh-CN"/>
        </w:rPr>
        <w:t>.</w:t>
      </w:r>
    </w:p>
    <w:p>
      <w:pPr>
        <w:pStyle w:val="8"/>
        <w:spacing w:line="560" w:lineRule="exact"/>
        <w:ind w:firstLine="560"/>
        <w:rPr>
          <w:rFonts w:hint="eastAsia" w:ascii="仿宋" w:hAnsi="仿宋" w:eastAsia="仿宋"/>
          <w:color w:val="000000"/>
          <w:sz w:val="28"/>
          <w:szCs w:val="28"/>
          <w:highlight w:val="none"/>
          <w:lang w:eastAsia="zh-CN"/>
        </w:rPr>
      </w:pPr>
      <w:r>
        <w:rPr>
          <w:rFonts w:hint="eastAsia" w:ascii="仿宋" w:hAnsi="仿宋" w:eastAsia="仿宋"/>
          <w:color w:val="000000"/>
          <w:sz w:val="28"/>
          <w:szCs w:val="28"/>
          <w:highlight w:val="none"/>
        </w:rPr>
        <w:t>2.加强健康教育宣传力度，提高广大人民群众的防病意识</w:t>
      </w:r>
      <w:r>
        <w:rPr>
          <w:rFonts w:hint="eastAsia" w:ascii="仿宋" w:hAnsi="仿宋" w:eastAsia="仿宋"/>
          <w:color w:val="000000"/>
          <w:sz w:val="28"/>
          <w:szCs w:val="28"/>
          <w:highlight w:val="none"/>
          <w:lang w:val="en-US" w:eastAsia="zh-CN"/>
        </w:rPr>
        <w:t>。</w:t>
      </w:r>
    </w:p>
    <w:p>
      <w:pPr>
        <w:pStyle w:val="8"/>
        <w:spacing w:line="560" w:lineRule="exact"/>
        <w:ind w:firstLine="560"/>
        <w:rPr>
          <w:rFonts w:hint="eastAsia" w:ascii="仿宋" w:hAnsi="仿宋" w:eastAsia="仿宋"/>
          <w:color w:val="000000"/>
          <w:sz w:val="28"/>
          <w:szCs w:val="28"/>
          <w:highlight w:val="none"/>
          <w:lang w:eastAsia="zh-CN"/>
        </w:rPr>
      </w:pPr>
      <w:r>
        <w:rPr>
          <w:rFonts w:hint="eastAsia" w:ascii="仿宋" w:hAnsi="仿宋" w:eastAsia="仿宋"/>
          <w:color w:val="000000"/>
          <w:sz w:val="28"/>
          <w:szCs w:val="28"/>
          <w:highlight w:val="none"/>
        </w:rPr>
        <w:t>3.完成自治区及地区下发疾病预防，基本公共卫生，基本医疗任务的各项指标，强化疫情监测和报告工作，规范各项防控工作</w:t>
      </w:r>
      <w:r>
        <w:rPr>
          <w:rFonts w:hint="eastAsia" w:ascii="仿宋" w:hAnsi="仿宋" w:eastAsia="仿宋"/>
          <w:color w:val="000000"/>
          <w:sz w:val="28"/>
          <w:szCs w:val="28"/>
          <w:highlight w:val="none"/>
          <w:lang w:eastAsia="zh-CN"/>
        </w:rPr>
        <w:t>。</w:t>
      </w:r>
    </w:p>
    <w:p>
      <w:pPr>
        <w:pStyle w:val="8"/>
        <w:spacing w:line="560" w:lineRule="exact"/>
        <w:ind w:firstLine="560"/>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4.加强传染病的</w:t>
      </w:r>
      <w:r>
        <w:rPr>
          <w:rFonts w:hint="eastAsia" w:ascii="仿宋" w:hAnsi="仿宋" w:eastAsia="仿宋"/>
          <w:color w:val="000000"/>
          <w:sz w:val="28"/>
          <w:szCs w:val="28"/>
          <w:highlight w:val="none"/>
          <w:lang w:eastAsia="zh-CN"/>
        </w:rPr>
        <w:t>监测预警</w:t>
      </w:r>
      <w:r>
        <w:rPr>
          <w:rFonts w:hint="eastAsia" w:ascii="仿宋" w:hAnsi="仿宋" w:eastAsia="仿宋"/>
          <w:color w:val="000000"/>
          <w:sz w:val="28"/>
          <w:szCs w:val="28"/>
          <w:highlight w:val="none"/>
        </w:rPr>
        <w:t>能力及人才队伍的建设。</w:t>
      </w:r>
    </w:p>
    <w:p>
      <w:pPr>
        <w:pStyle w:val="3"/>
        <w:numPr>
          <w:ilvl w:val="0"/>
          <w:numId w:val="1"/>
        </w:numPr>
        <w:spacing w:before="0" w:after="0" w:line="560" w:lineRule="exact"/>
        <w:ind w:left="0" w:firstLine="565" w:firstLineChars="201"/>
        <w:rPr>
          <w:rFonts w:hint="default" w:ascii="仿宋" w:hAnsi="华文楷体" w:eastAsia="仿宋"/>
          <w:sz w:val="28"/>
          <w:szCs w:val="28"/>
          <w:highlight w:val="none"/>
        </w:rPr>
      </w:pPr>
      <w:r>
        <w:rPr>
          <w:rFonts w:hint="eastAsia" w:ascii="仿宋" w:hAnsi="华文楷体" w:eastAsia="仿宋"/>
          <w:sz w:val="28"/>
          <w:szCs w:val="28"/>
          <w:highlight w:val="none"/>
        </w:rPr>
        <w:t>机构设置及人员情况</w:t>
      </w:r>
    </w:p>
    <w:p>
      <w:pPr>
        <w:pStyle w:val="8"/>
        <w:spacing w:line="560" w:lineRule="exact"/>
        <w:ind w:firstLine="560"/>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皮山县木奎拉乡卫生院无下属预算单位，下设7个科室，分别是：行政科室</w:t>
      </w:r>
      <w:r>
        <w:rPr>
          <w:rFonts w:hint="eastAsia" w:ascii="仿宋" w:hAnsi="仿宋" w:eastAsia="仿宋"/>
          <w:color w:val="000000"/>
          <w:sz w:val="28"/>
          <w:szCs w:val="28"/>
          <w:highlight w:val="none"/>
          <w:lang w:eastAsia="zh-CN"/>
        </w:rPr>
        <w:t>、</w:t>
      </w:r>
      <w:r>
        <w:rPr>
          <w:rFonts w:hint="eastAsia" w:ascii="仿宋" w:hAnsi="仿宋" w:eastAsia="仿宋"/>
          <w:color w:val="000000"/>
          <w:sz w:val="28"/>
          <w:szCs w:val="28"/>
          <w:highlight w:val="none"/>
        </w:rPr>
        <w:t>中医馆</w:t>
      </w:r>
      <w:r>
        <w:rPr>
          <w:rFonts w:hint="eastAsia" w:ascii="仿宋" w:hAnsi="仿宋" w:eastAsia="仿宋"/>
          <w:color w:val="000000"/>
          <w:sz w:val="28"/>
          <w:szCs w:val="28"/>
          <w:highlight w:val="none"/>
          <w:lang w:eastAsia="zh-CN"/>
        </w:rPr>
        <w:t>、</w:t>
      </w:r>
      <w:r>
        <w:rPr>
          <w:rFonts w:hint="eastAsia" w:ascii="仿宋" w:hAnsi="仿宋" w:eastAsia="仿宋"/>
          <w:color w:val="000000"/>
          <w:sz w:val="28"/>
          <w:szCs w:val="28"/>
          <w:highlight w:val="none"/>
        </w:rPr>
        <w:t>门诊</w:t>
      </w:r>
      <w:r>
        <w:rPr>
          <w:rFonts w:hint="eastAsia" w:ascii="仿宋" w:hAnsi="仿宋" w:eastAsia="仿宋"/>
          <w:color w:val="000000"/>
          <w:sz w:val="28"/>
          <w:szCs w:val="28"/>
          <w:highlight w:val="none"/>
          <w:lang w:eastAsia="zh-CN"/>
        </w:rPr>
        <w:t>、</w:t>
      </w:r>
      <w:r>
        <w:rPr>
          <w:rFonts w:hint="eastAsia" w:ascii="仿宋" w:hAnsi="仿宋" w:eastAsia="仿宋"/>
          <w:color w:val="000000"/>
          <w:sz w:val="28"/>
          <w:szCs w:val="28"/>
          <w:highlight w:val="none"/>
        </w:rPr>
        <w:t>住院部</w:t>
      </w:r>
      <w:r>
        <w:rPr>
          <w:rFonts w:hint="eastAsia" w:ascii="仿宋" w:hAnsi="仿宋" w:eastAsia="仿宋"/>
          <w:color w:val="000000"/>
          <w:sz w:val="28"/>
          <w:szCs w:val="28"/>
          <w:highlight w:val="none"/>
          <w:lang w:eastAsia="zh-CN"/>
        </w:rPr>
        <w:t>、</w:t>
      </w:r>
      <w:r>
        <w:rPr>
          <w:rFonts w:hint="eastAsia" w:ascii="仿宋" w:hAnsi="仿宋" w:eastAsia="仿宋"/>
          <w:color w:val="000000"/>
          <w:sz w:val="28"/>
          <w:szCs w:val="28"/>
          <w:highlight w:val="none"/>
        </w:rPr>
        <w:t>防疫科</w:t>
      </w:r>
      <w:r>
        <w:rPr>
          <w:rFonts w:hint="eastAsia" w:ascii="仿宋" w:hAnsi="仿宋" w:eastAsia="仿宋"/>
          <w:color w:val="000000"/>
          <w:sz w:val="28"/>
          <w:szCs w:val="28"/>
          <w:highlight w:val="none"/>
          <w:lang w:eastAsia="zh-CN"/>
        </w:rPr>
        <w:t>、</w:t>
      </w:r>
      <w:r>
        <w:rPr>
          <w:rFonts w:hint="eastAsia" w:ascii="仿宋" w:hAnsi="仿宋" w:eastAsia="仿宋"/>
          <w:color w:val="000000"/>
          <w:sz w:val="28"/>
          <w:szCs w:val="28"/>
          <w:highlight w:val="none"/>
        </w:rPr>
        <w:t>公共卫生科</w:t>
      </w:r>
      <w:r>
        <w:rPr>
          <w:rFonts w:hint="eastAsia" w:ascii="仿宋" w:hAnsi="仿宋" w:eastAsia="仿宋"/>
          <w:color w:val="000000"/>
          <w:sz w:val="28"/>
          <w:szCs w:val="28"/>
          <w:highlight w:val="none"/>
          <w:lang w:eastAsia="zh-CN"/>
        </w:rPr>
        <w:t>、</w:t>
      </w:r>
      <w:r>
        <w:rPr>
          <w:rFonts w:hint="eastAsia" w:ascii="仿宋" w:hAnsi="仿宋" w:eastAsia="仿宋"/>
          <w:color w:val="000000"/>
          <w:sz w:val="28"/>
          <w:szCs w:val="28"/>
          <w:highlight w:val="none"/>
        </w:rPr>
        <w:t>妇保科。</w:t>
      </w:r>
    </w:p>
    <w:p>
      <w:pPr>
        <w:pStyle w:val="8"/>
        <w:spacing w:line="560" w:lineRule="exact"/>
        <w:ind w:firstLine="560"/>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皮山县木奎拉乡卫生院编制数30，实有人数38人，其中：在职34人，增加4人；退休4人，增加1人；离休0人，减少0人。</w:t>
      </w:r>
    </w:p>
    <w:p>
      <w:pPr>
        <w:pStyle w:val="2"/>
        <w:spacing w:before="156" w:beforeLines="50" w:after="156" w:afterLines="50" w:line="400" w:lineRule="exact"/>
        <w:jc w:val="center"/>
        <w:rPr>
          <w:rFonts w:hint="default" w:ascii="黑体" w:eastAsia="黑体"/>
          <w:sz w:val="30"/>
          <w:szCs w:val="30"/>
          <w:highlight w:val="none"/>
        </w:rPr>
      </w:pPr>
      <w:r>
        <w:rPr>
          <w:rFonts w:hint="eastAsia" w:ascii="仿宋" w:hAnsi="仿宋" w:eastAsia="仿宋"/>
          <w:color w:val="000000"/>
          <w:sz w:val="28"/>
          <w:szCs w:val="28"/>
          <w:highlight w:val="none"/>
        </w:rPr>
        <w:br w:type="page"/>
      </w:r>
      <w:r>
        <w:rPr>
          <w:rFonts w:hint="eastAsia" w:ascii="黑体" w:eastAsia="黑体"/>
          <w:sz w:val="30"/>
          <w:szCs w:val="30"/>
          <w:highlight w:val="none"/>
        </w:rPr>
        <w:t>第二部分 2025年部门预算公开表</w:t>
      </w:r>
    </w:p>
    <w:p>
      <w:pPr>
        <w:jc w:val="left"/>
        <w:rPr>
          <w:rFonts w:hint="default" w:ascii="宋体" w:hAnsi="宋体"/>
          <w:color w:val="000000"/>
          <w:sz w:val="18"/>
          <w:szCs w:val="18"/>
          <w:highlight w:val="none"/>
        </w:rPr>
      </w:pPr>
      <w:r>
        <w:rPr>
          <w:rFonts w:hint="eastAsia" w:ascii="宋体" w:hAnsi="宋体"/>
          <w:color w:val="000000"/>
          <w:sz w:val="18"/>
          <w:szCs w:val="18"/>
          <w:highlight w:val="none"/>
        </w:rPr>
        <w:t>表1</w:t>
      </w:r>
    </w:p>
    <w:p>
      <w:pPr>
        <w:jc w:val="center"/>
        <w:rPr>
          <w:rFonts w:hint="default" w:ascii="仿宋" w:hAnsi="宋体" w:eastAsia="仿宋"/>
          <w:b/>
          <w:color w:val="000000"/>
          <w:sz w:val="28"/>
          <w:szCs w:val="28"/>
          <w:highlight w:val="none"/>
        </w:rPr>
      </w:pPr>
      <w:r>
        <w:rPr>
          <w:rFonts w:hint="eastAsia" w:ascii="仿宋" w:hAnsi="宋体" w:eastAsia="仿宋"/>
          <w:b/>
          <w:color w:val="000000"/>
          <w:sz w:val="28"/>
          <w:szCs w:val="28"/>
          <w:highlight w:val="none"/>
        </w:rPr>
        <w:t>部门收支总体情况表</w:t>
      </w:r>
    </w:p>
    <w:tbl>
      <w:tblPr>
        <w:tblStyle w:val="7"/>
        <w:tblW w:w="95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3600"/>
        <w:gridCol w:w="1150"/>
        <w:gridCol w:w="3600"/>
        <w:gridCol w:w="1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tblHeader/>
          <w:jc w:val="center"/>
        </w:trPr>
        <w:tc>
          <w:tcPr>
            <w:tcW w:w="8350" w:type="dxa"/>
            <w:gridSpan w:val="3"/>
            <w:tcBorders>
              <w:top w:val="nil"/>
              <w:left w:val="nil"/>
              <w:bottom w:val="single" w:color="auto" w:sz="4" w:space="0"/>
              <w:right w:val="nil"/>
            </w:tcBorders>
            <w:shd w:val="clear" w:color="auto" w:fill="auto"/>
          </w:tcPr>
          <w:p>
            <w:pPr>
              <w:jc w:val="left"/>
              <w:rPr>
                <w:rFonts w:hint="default" w:ascii="宋体" w:hAnsi="宋体"/>
                <w:color w:val="000000"/>
                <w:sz w:val="18"/>
                <w:szCs w:val="18"/>
                <w:highlight w:val="none"/>
              </w:rPr>
            </w:pPr>
            <w:r>
              <w:rPr>
                <w:rFonts w:hint="eastAsia"/>
                <w:color w:val="000000"/>
                <w:sz w:val="18"/>
                <w:szCs w:val="18"/>
                <w:highlight w:val="none"/>
              </w:rPr>
              <w:t>编制部门：皮山县木奎拉乡卫生院</w:t>
            </w:r>
          </w:p>
        </w:tc>
        <w:tc>
          <w:tcPr>
            <w:tcW w:w="1150" w:type="dxa"/>
            <w:tcBorders>
              <w:top w:val="nil"/>
              <w:left w:val="nil"/>
              <w:bottom w:val="single" w:color="auto" w:sz="4" w:space="0"/>
              <w:right w:val="nil"/>
            </w:tcBorders>
            <w:shd w:val="clear" w:color="auto" w:fill="auto"/>
          </w:tcPr>
          <w:p>
            <w:pPr>
              <w:jc w:val="right"/>
              <w:rPr>
                <w:rFonts w:hint="default" w:ascii="宋体" w:hAnsi="宋体"/>
                <w:color w:val="000000"/>
                <w:sz w:val="18"/>
                <w:szCs w:val="18"/>
                <w:highlight w:val="none"/>
              </w:rPr>
            </w:pPr>
            <w:r>
              <w:rPr>
                <w:rFonts w:hint="eastAsia"/>
                <w:color w:val="000000"/>
                <w:sz w:val="18"/>
                <w:szCs w:val="18"/>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tblHeader/>
          <w:jc w:val="center"/>
        </w:trPr>
        <w:tc>
          <w:tcPr>
            <w:tcW w:w="4750" w:type="dxa"/>
            <w:gridSpan w:val="2"/>
            <w:tcBorders>
              <w:top w:val="single" w:color="auto" w:sz="4" w:space="0"/>
              <w:left w:val="single" w:color="auto" w:sz="4" w:space="0"/>
              <w:right w:val="single" w:color="auto" w:sz="4" w:space="0"/>
            </w:tcBorders>
            <w:shd w:val="clear" w:color="auto" w:fill="auto"/>
          </w:tcPr>
          <w:p>
            <w:pPr>
              <w:jc w:val="center"/>
              <w:rPr>
                <w:rFonts w:hint="eastAsia" w:ascii="宋体" w:hAnsi="宋体"/>
                <w:b/>
                <w:color w:val="000000"/>
                <w:sz w:val="18"/>
                <w:szCs w:val="18"/>
                <w:highlight w:val="none"/>
              </w:rPr>
            </w:pPr>
            <w:r>
              <w:rPr>
                <w:rFonts w:hint="eastAsia" w:ascii="宋体" w:hAnsi="宋体"/>
                <w:b/>
                <w:color w:val="000000"/>
                <w:sz w:val="18"/>
                <w:szCs w:val="18"/>
                <w:highlight w:val="none"/>
              </w:rPr>
              <w:t>收入</w:t>
            </w:r>
          </w:p>
        </w:tc>
        <w:tc>
          <w:tcPr>
            <w:tcW w:w="4750" w:type="dxa"/>
            <w:gridSpan w:val="2"/>
            <w:tcBorders>
              <w:top w:val="single" w:color="auto" w:sz="4" w:space="0"/>
              <w:left w:val="single" w:color="auto" w:sz="4" w:space="0"/>
              <w:right w:val="single" w:color="auto" w:sz="4" w:space="0"/>
            </w:tcBorders>
            <w:shd w:val="clear" w:color="auto" w:fill="auto"/>
          </w:tcPr>
          <w:p>
            <w:pPr>
              <w:jc w:val="center"/>
              <w:rPr>
                <w:rFonts w:hint="eastAsia" w:ascii="宋体" w:hAnsi="宋体"/>
                <w:b/>
                <w:color w:val="000000"/>
                <w:sz w:val="18"/>
                <w:szCs w:val="18"/>
                <w:highlight w:val="none"/>
              </w:rPr>
            </w:pPr>
            <w:r>
              <w:rPr>
                <w:rFonts w:hint="eastAsia" w:ascii="宋体" w:hAnsi="宋体"/>
                <w:b/>
                <w:color w:val="000000"/>
                <w:sz w:val="18"/>
                <w:szCs w:val="18"/>
                <w:highlight w:val="none"/>
              </w:rPr>
              <w:t>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tblHeader/>
          <w:jc w:val="center"/>
        </w:trPr>
        <w:tc>
          <w:tcPr>
            <w:tcW w:w="3600" w:type="dxa"/>
            <w:tcBorders>
              <w:top w:val="single" w:color="auto" w:sz="4" w:space="0"/>
              <w:left w:val="single" w:color="auto" w:sz="4" w:space="0"/>
              <w:right w:val="single" w:color="auto" w:sz="4" w:space="0"/>
            </w:tcBorders>
            <w:shd w:val="clear" w:color="auto" w:fill="auto"/>
          </w:tcPr>
          <w:p>
            <w:pPr>
              <w:jc w:val="center"/>
              <w:rPr>
                <w:rFonts w:hint="default" w:ascii="宋体" w:hAnsi="宋体"/>
                <w:b/>
                <w:color w:val="000000"/>
                <w:sz w:val="18"/>
                <w:szCs w:val="18"/>
                <w:highlight w:val="none"/>
              </w:rPr>
            </w:pPr>
            <w:r>
              <w:rPr>
                <w:rFonts w:hint="eastAsia" w:ascii="宋体" w:hAnsi="宋体"/>
                <w:b/>
                <w:color w:val="000000"/>
                <w:sz w:val="18"/>
                <w:szCs w:val="18"/>
                <w:highlight w:val="none"/>
              </w:rPr>
              <w:t>项目</w:t>
            </w:r>
          </w:p>
        </w:tc>
        <w:tc>
          <w:tcPr>
            <w:tcW w:w="1150" w:type="dxa"/>
            <w:tcBorders>
              <w:top w:val="single" w:color="auto" w:sz="4" w:space="0"/>
              <w:left w:val="single" w:color="auto" w:sz="4" w:space="0"/>
              <w:right w:val="single" w:color="auto" w:sz="4" w:space="0"/>
            </w:tcBorders>
            <w:shd w:val="clear" w:color="auto" w:fill="auto"/>
          </w:tcPr>
          <w:p>
            <w:pPr>
              <w:jc w:val="center"/>
              <w:rPr>
                <w:rFonts w:hint="default" w:ascii="宋体" w:hAnsi="宋体"/>
                <w:b/>
                <w:color w:val="000000"/>
                <w:sz w:val="18"/>
                <w:szCs w:val="18"/>
                <w:highlight w:val="none"/>
              </w:rPr>
            </w:pPr>
            <w:r>
              <w:rPr>
                <w:rFonts w:hint="eastAsia" w:ascii="宋体" w:hAnsi="宋体"/>
                <w:b/>
                <w:color w:val="000000"/>
                <w:sz w:val="18"/>
                <w:szCs w:val="18"/>
                <w:highlight w:val="none"/>
              </w:rPr>
              <w:t>预算数</w:t>
            </w:r>
          </w:p>
        </w:tc>
        <w:tc>
          <w:tcPr>
            <w:tcW w:w="3600" w:type="dxa"/>
            <w:tcBorders>
              <w:top w:val="single" w:color="auto" w:sz="4" w:space="0"/>
              <w:left w:val="single" w:color="auto" w:sz="4" w:space="0"/>
              <w:right w:val="single" w:color="auto" w:sz="4" w:space="0"/>
            </w:tcBorders>
            <w:shd w:val="clear" w:color="auto" w:fill="auto"/>
          </w:tcPr>
          <w:p>
            <w:pPr>
              <w:jc w:val="center"/>
              <w:rPr>
                <w:rFonts w:hint="default" w:ascii="宋体" w:hAnsi="宋体"/>
                <w:b/>
                <w:color w:val="000000"/>
                <w:sz w:val="18"/>
                <w:szCs w:val="18"/>
                <w:highlight w:val="none"/>
              </w:rPr>
            </w:pPr>
            <w:r>
              <w:rPr>
                <w:rFonts w:hint="eastAsia" w:ascii="宋体" w:hAnsi="宋体"/>
                <w:b/>
                <w:color w:val="000000"/>
                <w:sz w:val="18"/>
                <w:szCs w:val="18"/>
                <w:highlight w:val="none"/>
              </w:rPr>
              <w:t>功能分类</w:t>
            </w:r>
          </w:p>
        </w:tc>
        <w:tc>
          <w:tcPr>
            <w:tcW w:w="1150" w:type="dxa"/>
            <w:tcBorders>
              <w:top w:val="single" w:color="auto" w:sz="4" w:space="0"/>
              <w:left w:val="single" w:color="auto" w:sz="4" w:space="0"/>
              <w:right w:val="single" w:color="auto" w:sz="4" w:space="0"/>
            </w:tcBorders>
            <w:shd w:val="clear" w:color="auto" w:fill="auto"/>
          </w:tcPr>
          <w:p>
            <w:pPr>
              <w:jc w:val="center"/>
              <w:rPr>
                <w:rFonts w:hint="default" w:ascii="宋体" w:hAnsi="宋体"/>
                <w:b/>
                <w:color w:val="000000"/>
                <w:sz w:val="18"/>
                <w:szCs w:val="18"/>
                <w:highlight w:val="none"/>
              </w:rPr>
            </w:pPr>
            <w:r>
              <w:rPr>
                <w:rFonts w:hint="eastAsia" w:ascii="宋体" w:hAnsi="宋体"/>
                <w:b/>
                <w:color w:val="000000"/>
                <w:sz w:val="18"/>
                <w:szCs w:val="18"/>
                <w:highlight w:val="none"/>
              </w:rPr>
              <w:t>预算数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b/>
                <w:color w:val="000000"/>
                <w:sz w:val="18"/>
                <w:szCs w:val="18"/>
                <w:highlight w:val="none"/>
              </w:rPr>
              <w:t>一、本年收入</w:t>
            </w:r>
          </w:p>
        </w:tc>
        <w:tc>
          <w:tcPr>
            <w:tcW w:w="1150" w:type="dxa"/>
            <w:shd w:val="clear" w:color="auto" w:fill="auto"/>
          </w:tcPr>
          <w:p>
            <w:pPr>
              <w:jc w:val="right"/>
              <w:rPr>
                <w:rFonts w:hint="default" w:ascii="宋体" w:hAnsi="宋体"/>
                <w:color w:val="000000"/>
                <w:sz w:val="18"/>
                <w:szCs w:val="18"/>
                <w:highlight w:val="none"/>
              </w:rPr>
            </w:pPr>
            <w:r>
              <w:rPr>
                <w:rFonts w:hint="eastAsia" w:ascii="宋体" w:hAnsi="宋体"/>
                <w:b/>
                <w:color w:val="000000"/>
                <w:sz w:val="18"/>
                <w:szCs w:val="18"/>
                <w:highlight w:val="none"/>
              </w:rPr>
              <w:t>1,707.40</w:t>
            </w: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201 一般公共服务支出</w:t>
            </w:r>
          </w:p>
        </w:tc>
        <w:tc>
          <w:tcPr>
            <w:tcW w:w="1150" w:type="dxa"/>
            <w:shd w:val="clear" w:color="auto" w:fill="auto"/>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b/>
                <w:color w:val="000000"/>
                <w:sz w:val="18"/>
                <w:szCs w:val="18"/>
                <w:highlight w:val="none"/>
              </w:rPr>
              <w:t>1.一般公共预算拨款</w:t>
            </w:r>
          </w:p>
        </w:tc>
        <w:tc>
          <w:tcPr>
            <w:tcW w:w="1150" w:type="dxa"/>
            <w:shd w:val="clear" w:color="auto" w:fill="auto"/>
          </w:tcPr>
          <w:p>
            <w:pPr>
              <w:jc w:val="right"/>
              <w:rPr>
                <w:rFonts w:hint="default" w:ascii="宋体" w:hAnsi="宋体"/>
                <w:color w:val="000000"/>
                <w:sz w:val="18"/>
                <w:szCs w:val="18"/>
                <w:highlight w:val="none"/>
              </w:rPr>
            </w:pPr>
            <w:r>
              <w:rPr>
                <w:rFonts w:hint="eastAsia" w:ascii="宋体" w:hAnsi="宋体"/>
                <w:b/>
                <w:color w:val="000000"/>
                <w:sz w:val="18"/>
                <w:szCs w:val="18"/>
                <w:highlight w:val="none"/>
              </w:rPr>
              <w:t>607.40</w:t>
            </w: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202 外交支出</w:t>
            </w:r>
          </w:p>
        </w:tc>
        <w:tc>
          <w:tcPr>
            <w:tcW w:w="1150" w:type="dxa"/>
            <w:shd w:val="clear" w:color="auto" w:fill="auto"/>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其中：一般财力</w:t>
            </w:r>
          </w:p>
        </w:tc>
        <w:tc>
          <w:tcPr>
            <w:tcW w:w="1150" w:type="dxa"/>
            <w:shd w:val="clear" w:color="auto" w:fill="auto"/>
          </w:tcPr>
          <w:p>
            <w:pPr>
              <w:jc w:val="right"/>
              <w:rPr>
                <w:rFonts w:hint="default" w:ascii="宋体" w:hAnsi="宋体"/>
                <w:color w:val="000000"/>
                <w:sz w:val="18"/>
                <w:szCs w:val="18"/>
                <w:highlight w:val="none"/>
              </w:rPr>
            </w:pPr>
            <w:r>
              <w:rPr>
                <w:rFonts w:hint="eastAsia" w:ascii="宋体" w:hAnsi="宋体"/>
                <w:color w:val="000000"/>
                <w:sz w:val="18"/>
                <w:szCs w:val="18"/>
                <w:highlight w:val="none"/>
              </w:rPr>
              <w:t>607.40</w:t>
            </w: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203 国防支出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 xml:space="preserve">      上级一般公共预算安排转移支付</w:t>
            </w: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204 公共安全支出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b/>
                <w:color w:val="000000"/>
                <w:sz w:val="18"/>
                <w:szCs w:val="18"/>
                <w:highlight w:val="none"/>
              </w:rPr>
              <w:t>2.政府性基金预算拨款</w:t>
            </w: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205 教育支出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s="宋体"/>
                <w:color w:val="000000"/>
                <w:sz w:val="18"/>
                <w:szCs w:val="18"/>
                <w:highlight w:val="none"/>
              </w:rPr>
              <w:t>其中：政府性基金收入</w:t>
            </w: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206 科学技术支出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s="宋体"/>
                <w:color w:val="000000"/>
                <w:sz w:val="18"/>
                <w:szCs w:val="18"/>
                <w:highlight w:val="none"/>
              </w:rPr>
              <w:t xml:space="preserve">      上级政府性基金安排转移支付</w:t>
            </w: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207 文化旅游体育与传媒支出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b/>
                <w:color w:val="000000"/>
                <w:sz w:val="18"/>
                <w:szCs w:val="18"/>
                <w:highlight w:val="none"/>
              </w:rPr>
              <w:t>3.国有资本经营预算拨款</w:t>
            </w: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208 社会保障和就业支出</w:t>
            </w:r>
          </w:p>
        </w:tc>
        <w:tc>
          <w:tcPr>
            <w:tcW w:w="1150" w:type="dxa"/>
            <w:shd w:val="clear" w:color="auto" w:fill="auto"/>
            <w:vAlign w:val="center"/>
          </w:tcPr>
          <w:p>
            <w:pPr>
              <w:jc w:val="right"/>
              <w:rPr>
                <w:rFonts w:hint="default" w:ascii="宋体" w:hAnsi="宋体"/>
                <w:color w:val="000000"/>
                <w:sz w:val="18"/>
                <w:szCs w:val="18"/>
                <w:highlight w:val="none"/>
              </w:rPr>
            </w:pPr>
            <w:r>
              <w:rPr>
                <w:rFonts w:hint="eastAsia" w:ascii="宋体" w:hAnsi="宋体"/>
                <w:color w:val="000000"/>
                <w:sz w:val="18"/>
                <w:szCs w:val="18"/>
                <w:highlight w:val="none"/>
              </w:rPr>
              <w:t>77.45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其中：国有资本经营收入</w:t>
            </w: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209 社会保险基金支出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 xml:space="preserve">      上级国有资本经营预算安排转移支付</w:t>
            </w: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210 卫生健康支出</w:t>
            </w:r>
          </w:p>
        </w:tc>
        <w:tc>
          <w:tcPr>
            <w:tcW w:w="1150" w:type="dxa"/>
            <w:shd w:val="clear" w:color="auto" w:fill="auto"/>
            <w:vAlign w:val="center"/>
          </w:tcPr>
          <w:p>
            <w:pPr>
              <w:jc w:val="right"/>
              <w:rPr>
                <w:rFonts w:hint="default" w:ascii="宋体" w:hAnsi="宋体"/>
                <w:color w:val="000000"/>
                <w:sz w:val="18"/>
                <w:szCs w:val="18"/>
                <w:highlight w:val="none"/>
              </w:rPr>
            </w:pPr>
            <w:r>
              <w:rPr>
                <w:rFonts w:hint="eastAsia" w:ascii="宋体" w:hAnsi="宋体"/>
                <w:color w:val="000000"/>
                <w:sz w:val="18"/>
                <w:szCs w:val="18"/>
                <w:highlight w:val="none"/>
              </w:rPr>
              <w:t>1,674.08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b/>
                <w:color w:val="000000"/>
                <w:sz w:val="18"/>
                <w:szCs w:val="18"/>
                <w:highlight w:val="none"/>
              </w:rPr>
              <w:t>4.财政专户核拨</w:t>
            </w: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211 节能环保支出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b/>
                <w:color w:val="000000"/>
                <w:sz w:val="18"/>
                <w:szCs w:val="18"/>
                <w:highlight w:val="none"/>
              </w:rPr>
              <w:t>5.单位资金</w:t>
            </w:r>
          </w:p>
        </w:tc>
        <w:tc>
          <w:tcPr>
            <w:tcW w:w="1150" w:type="dxa"/>
            <w:shd w:val="clear" w:color="auto" w:fill="auto"/>
          </w:tcPr>
          <w:p>
            <w:pPr>
              <w:jc w:val="right"/>
              <w:rPr>
                <w:rFonts w:hint="default" w:ascii="宋体" w:hAnsi="宋体"/>
                <w:color w:val="000000"/>
                <w:sz w:val="18"/>
                <w:szCs w:val="18"/>
                <w:highlight w:val="none"/>
              </w:rPr>
            </w:pPr>
            <w:r>
              <w:rPr>
                <w:rFonts w:hint="eastAsia" w:ascii="宋体" w:hAnsi="宋体"/>
                <w:b/>
                <w:color w:val="000000"/>
                <w:sz w:val="18"/>
                <w:szCs w:val="18"/>
                <w:highlight w:val="none"/>
              </w:rPr>
              <w:t>1,100.00</w:t>
            </w: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212 城乡社区支出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其中：事业收入</w:t>
            </w:r>
          </w:p>
        </w:tc>
        <w:tc>
          <w:tcPr>
            <w:tcW w:w="1150" w:type="dxa"/>
            <w:shd w:val="clear" w:color="auto" w:fill="auto"/>
          </w:tcPr>
          <w:p>
            <w:pPr>
              <w:jc w:val="right"/>
              <w:rPr>
                <w:rFonts w:hint="default" w:ascii="宋体" w:hAnsi="宋体"/>
                <w:color w:val="000000"/>
                <w:sz w:val="18"/>
                <w:szCs w:val="18"/>
                <w:highlight w:val="none"/>
              </w:rPr>
            </w:pPr>
            <w:r>
              <w:rPr>
                <w:rFonts w:hint="eastAsia" w:ascii="宋体" w:hAnsi="宋体"/>
                <w:color w:val="000000"/>
                <w:sz w:val="18"/>
                <w:szCs w:val="18"/>
                <w:highlight w:val="none"/>
              </w:rPr>
              <w:t>1,100.00</w:t>
            </w: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213 农林水支出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 xml:space="preserve">      上级补助收入</w:t>
            </w: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214 交通运输支出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 xml:space="preserve">      附属单位上缴收入</w:t>
            </w: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215 资源勘探工业信息等支出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 xml:space="preserve">      事业单位经营收入</w:t>
            </w: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216 商业服务业等支出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 xml:space="preserve">      其他收入</w:t>
            </w: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217 金融支出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b/>
                <w:color w:val="000000"/>
                <w:sz w:val="18"/>
                <w:szCs w:val="18"/>
                <w:highlight w:val="none"/>
              </w:rPr>
              <w:t>二、上年结转结余</w:t>
            </w:r>
          </w:p>
        </w:tc>
        <w:tc>
          <w:tcPr>
            <w:tcW w:w="1150" w:type="dxa"/>
            <w:shd w:val="clear" w:color="auto" w:fill="auto"/>
          </w:tcPr>
          <w:p>
            <w:pPr>
              <w:jc w:val="right"/>
              <w:rPr>
                <w:rFonts w:hint="default" w:ascii="宋体" w:hAnsi="宋体"/>
                <w:color w:val="000000"/>
                <w:sz w:val="18"/>
                <w:szCs w:val="18"/>
                <w:highlight w:val="none"/>
              </w:rPr>
            </w:pPr>
            <w:r>
              <w:rPr>
                <w:rFonts w:hint="eastAsia" w:ascii="宋体" w:hAnsi="宋体"/>
                <w:b/>
                <w:color w:val="000000"/>
                <w:sz w:val="18"/>
                <w:szCs w:val="18"/>
                <w:highlight w:val="none"/>
              </w:rPr>
              <w:t>92.14</w:t>
            </w: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219 援助其他地区支出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b/>
                <w:color w:val="000000"/>
                <w:sz w:val="18"/>
                <w:szCs w:val="18"/>
                <w:highlight w:val="none"/>
              </w:rPr>
              <w:t>1.财政拨款结转</w:t>
            </w:r>
          </w:p>
        </w:tc>
        <w:tc>
          <w:tcPr>
            <w:tcW w:w="1150" w:type="dxa"/>
            <w:shd w:val="clear" w:color="auto" w:fill="auto"/>
          </w:tcPr>
          <w:p>
            <w:pPr>
              <w:jc w:val="right"/>
              <w:rPr>
                <w:rFonts w:hint="default" w:ascii="宋体" w:hAnsi="宋体"/>
                <w:color w:val="000000"/>
                <w:sz w:val="18"/>
                <w:szCs w:val="18"/>
                <w:highlight w:val="none"/>
              </w:rPr>
            </w:pPr>
            <w:r>
              <w:rPr>
                <w:rFonts w:hint="eastAsia" w:ascii="宋体" w:hAnsi="宋体"/>
                <w:b/>
                <w:color w:val="000000"/>
                <w:sz w:val="18"/>
                <w:szCs w:val="18"/>
                <w:highlight w:val="none"/>
              </w:rPr>
              <w:t>92.14</w:t>
            </w: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220 自然资源海洋气象等支出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其中：一般公共预算拨款</w:t>
            </w:r>
          </w:p>
        </w:tc>
        <w:tc>
          <w:tcPr>
            <w:tcW w:w="1150" w:type="dxa"/>
            <w:shd w:val="clear" w:color="auto" w:fill="auto"/>
          </w:tcPr>
          <w:p>
            <w:pPr>
              <w:jc w:val="right"/>
              <w:rPr>
                <w:rFonts w:hint="default" w:ascii="宋体" w:hAnsi="宋体"/>
                <w:color w:val="000000"/>
                <w:sz w:val="18"/>
                <w:szCs w:val="18"/>
                <w:highlight w:val="none"/>
              </w:rPr>
            </w:pPr>
            <w:r>
              <w:rPr>
                <w:rFonts w:hint="eastAsia" w:ascii="宋体" w:hAnsi="宋体"/>
                <w:color w:val="000000"/>
                <w:sz w:val="18"/>
                <w:szCs w:val="18"/>
                <w:highlight w:val="none"/>
              </w:rPr>
              <w:t>91.46</w:t>
            </w: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221 住房保障支出</w:t>
            </w:r>
          </w:p>
        </w:tc>
        <w:tc>
          <w:tcPr>
            <w:tcW w:w="1150" w:type="dxa"/>
            <w:shd w:val="clear" w:color="auto" w:fill="auto"/>
            <w:vAlign w:val="center"/>
          </w:tcPr>
          <w:p>
            <w:pPr>
              <w:jc w:val="right"/>
              <w:rPr>
                <w:rFonts w:hint="default" w:ascii="宋体" w:hAnsi="宋体"/>
                <w:color w:val="000000"/>
                <w:sz w:val="18"/>
                <w:szCs w:val="18"/>
                <w:highlight w:val="none"/>
              </w:rPr>
            </w:pPr>
            <w:r>
              <w:rPr>
                <w:rFonts w:hint="eastAsia" w:ascii="宋体" w:hAnsi="宋体"/>
                <w:color w:val="000000"/>
                <w:sz w:val="18"/>
                <w:szCs w:val="18"/>
                <w:highlight w:val="none"/>
              </w:rPr>
              <w:t>47.33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 xml:space="preserve">      政府性基金预算拨款</w:t>
            </w:r>
          </w:p>
        </w:tc>
        <w:tc>
          <w:tcPr>
            <w:tcW w:w="1150" w:type="dxa"/>
            <w:shd w:val="clear" w:color="auto" w:fill="auto"/>
          </w:tcPr>
          <w:p>
            <w:pPr>
              <w:jc w:val="right"/>
              <w:rPr>
                <w:rFonts w:hint="default" w:ascii="宋体" w:hAnsi="宋体"/>
                <w:color w:val="000000"/>
                <w:sz w:val="18"/>
                <w:szCs w:val="18"/>
                <w:highlight w:val="none"/>
              </w:rPr>
            </w:pPr>
            <w:r>
              <w:rPr>
                <w:rFonts w:hint="eastAsia" w:ascii="宋体" w:hAnsi="宋体"/>
                <w:color w:val="000000"/>
                <w:sz w:val="18"/>
                <w:szCs w:val="18"/>
                <w:highlight w:val="none"/>
              </w:rPr>
              <w:t>0.68</w:t>
            </w: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222 粮油物资储备支出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 xml:space="preserve">      国有资本经营预算拨款</w:t>
            </w: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223 国有资本经营预算支出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b/>
                <w:color w:val="000000"/>
                <w:sz w:val="18"/>
                <w:szCs w:val="18"/>
                <w:highlight w:val="none"/>
              </w:rPr>
              <w:t>2.非财政拨款结转结余</w:t>
            </w: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224 灾害防治及应急管理支出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其中：财政专户核拨</w:t>
            </w: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227 预备费</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 xml:space="preserve">      单位资金</w:t>
            </w: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229 其他支出</w:t>
            </w:r>
          </w:p>
        </w:tc>
        <w:tc>
          <w:tcPr>
            <w:tcW w:w="1150" w:type="dxa"/>
            <w:shd w:val="clear" w:color="auto" w:fill="auto"/>
            <w:vAlign w:val="center"/>
          </w:tcPr>
          <w:p>
            <w:pPr>
              <w:jc w:val="right"/>
              <w:rPr>
                <w:rFonts w:hint="default" w:ascii="宋体" w:hAnsi="宋体"/>
                <w:color w:val="000000"/>
                <w:sz w:val="18"/>
                <w:szCs w:val="18"/>
                <w:highlight w:val="none"/>
              </w:rPr>
            </w:pPr>
            <w:r>
              <w:rPr>
                <w:rFonts w:hint="eastAsia" w:ascii="宋体" w:hAnsi="宋体"/>
                <w:color w:val="000000"/>
                <w:sz w:val="18"/>
                <w:szCs w:val="18"/>
                <w:highlight w:val="none"/>
              </w:rPr>
              <w:t>0.68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tcPr>
          <w:p>
            <w:pPr>
              <w:rPr>
                <w:rFonts w:hint="default" w:ascii="宋体" w:hAnsi="宋体"/>
                <w:color w:val="000000"/>
                <w:sz w:val="18"/>
                <w:szCs w:val="18"/>
                <w:highlight w:val="none"/>
              </w:rPr>
            </w:pP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230 转移性支出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tcPr>
          <w:p>
            <w:pPr>
              <w:rPr>
                <w:rFonts w:hint="default" w:ascii="宋体" w:hAnsi="宋体"/>
                <w:color w:val="000000"/>
                <w:sz w:val="18"/>
                <w:szCs w:val="18"/>
                <w:highlight w:val="none"/>
              </w:rPr>
            </w:pP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231 债务还本支出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tcPr>
          <w:p>
            <w:pPr>
              <w:rPr>
                <w:rFonts w:hint="default" w:ascii="宋体" w:hAnsi="宋体"/>
                <w:color w:val="000000"/>
                <w:sz w:val="18"/>
                <w:szCs w:val="18"/>
                <w:highlight w:val="none"/>
              </w:rPr>
            </w:pP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232 债务付息支出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tcPr>
          <w:p>
            <w:pPr>
              <w:rPr>
                <w:rFonts w:hint="default" w:ascii="宋体" w:hAnsi="宋体"/>
                <w:color w:val="000000"/>
                <w:sz w:val="18"/>
                <w:szCs w:val="18"/>
                <w:highlight w:val="none"/>
              </w:rPr>
            </w:pP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s="宋体"/>
                <w:color w:val="000000"/>
                <w:sz w:val="18"/>
                <w:szCs w:val="18"/>
                <w:highlight w:val="none"/>
              </w:rPr>
              <w:t>233 债务发行费用支出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21" w:hRule="atLeast"/>
          <w:jc w:val="center"/>
        </w:trPr>
        <w:tc>
          <w:tcPr>
            <w:tcW w:w="3600" w:type="dxa"/>
            <w:shd w:val="clear" w:color="auto" w:fill="auto"/>
          </w:tcPr>
          <w:p>
            <w:pPr>
              <w:rPr>
                <w:rFonts w:hint="default" w:ascii="宋体" w:hAnsi="宋体"/>
                <w:color w:val="000000"/>
                <w:sz w:val="18"/>
                <w:szCs w:val="18"/>
                <w:highlight w:val="none"/>
              </w:rPr>
            </w:pP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tcPr>
          <w:p>
            <w:pPr>
              <w:rPr>
                <w:rFonts w:hint="default" w:ascii="宋体" w:hAnsi="宋体" w:cs="宋体"/>
                <w:color w:val="000000"/>
                <w:sz w:val="18"/>
                <w:szCs w:val="18"/>
                <w:highlight w:val="none"/>
              </w:rPr>
            </w:pPr>
          </w:p>
        </w:tc>
        <w:tc>
          <w:tcPr>
            <w:tcW w:w="1150" w:type="dxa"/>
            <w:shd w:val="clear" w:color="auto" w:fill="auto"/>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tcPr>
          <w:p>
            <w:pPr>
              <w:jc w:val="center"/>
              <w:rPr>
                <w:rFonts w:hint="default" w:ascii="宋体" w:hAnsi="宋体"/>
                <w:color w:val="000000"/>
                <w:sz w:val="18"/>
                <w:szCs w:val="18"/>
                <w:highlight w:val="none"/>
              </w:rPr>
            </w:pPr>
            <w:r>
              <w:rPr>
                <w:rFonts w:hint="eastAsia" w:ascii="宋体" w:hAnsi="宋体"/>
                <w:b/>
                <w:color w:val="000000"/>
                <w:sz w:val="18"/>
                <w:szCs w:val="18"/>
                <w:highlight w:val="none"/>
              </w:rPr>
              <w:t>收 入 总 计</w:t>
            </w:r>
          </w:p>
        </w:tc>
        <w:tc>
          <w:tcPr>
            <w:tcW w:w="1150" w:type="dxa"/>
            <w:shd w:val="clear" w:color="auto" w:fill="auto"/>
          </w:tcPr>
          <w:p>
            <w:pPr>
              <w:jc w:val="right"/>
              <w:rPr>
                <w:rFonts w:hint="default" w:ascii="宋体" w:hAnsi="宋体"/>
                <w:color w:val="000000"/>
                <w:sz w:val="18"/>
                <w:szCs w:val="18"/>
                <w:highlight w:val="none"/>
              </w:rPr>
            </w:pPr>
            <w:r>
              <w:rPr>
                <w:rFonts w:hint="eastAsia" w:ascii="宋体" w:hAnsi="宋体"/>
                <w:b/>
                <w:color w:val="000000"/>
                <w:sz w:val="18"/>
                <w:szCs w:val="18"/>
                <w:highlight w:val="none"/>
              </w:rPr>
              <w:t>1,799.54</w:t>
            </w:r>
          </w:p>
        </w:tc>
        <w:tc>
          <w:tcPr>
            <w:tcW w:w="3600" w:type="dxa"/>
            <w:shd w:val="clear" w:color="auto" w:fill="auto"/>
          </w:tcPr>
          <w:p>
            <w:pPr>
              <w:jc w:val="center"/>
              <w:rPr>
                <w:rFonts w:hint="default" w:ascii="宋体" w:hAnsi="宋体" w:cs="宋体"/>
                <w:color w:val="000000"/>
                <w:sz w:val="18"/>
                <w:szCs w:val="18"/>
                <w:highlight w:val="none"/>
              </w:rPr>
            </w:pPr>
            <w:r>
              <w:rPr>
                <w:rFonts w:hint="eastAsia" w:ascii="宋体" w:hAnsi="宋体"/>
                <w:b/>
                <w:color w:val="000000"/>
                <w:sz w:val="18"/>
                <w:szCs w:val="18"/>
                <w:highlight w:val="none"/>
              </w:rPr>
              <w:t>支 出 总 计</w:t>
            </w:r>
          </w:p>
        </w:tc>
        <w:tc>
          <w:tcPr>
            <w:tcW w:w="1150" w:type="dxa"/>
            <w:shd w:val="clear" w:color="auto" w:fill="auto"/>
          </w:tcPr>
          <w:p>
            <w:pPr>
              <w:jc w:val="right"/>
              <w:rPr>
                <w:rFonts w:hint="default" w:ascii="宋体" w:hAnsi="宋体"/>
                <w:color w:val="000000"/>
                <w:sz w:val="18"/>
                <w:szCs w:val="18"/>
                <w:highlight w:val="none"/>
              </w:rPr>
            </w:pPr>
            <w:r>
              <w:rPr>
                <w:rFonts w:hint="eastAsia" w:ascii="宋体" w:hAnsi="宋体"/>
                <w:b/>
                <w:color w:val="000000"/>
                <w:sz w:val="18"/>
                <w:szCs w:val="18"/>
                <w:highlight w:val="none"/>
              </w:rPr>
              <w:t>1,799.54</w:t>
            </w:r>
          </w:p>
        </w:tc>
      </w:tr>
    </w:tbl>
    <w:p>
      <w:pPr>
        <w:widowControl/>
        <w:jc w:val="left"/>
        <w:rPr>
          <w:rFonts w:hint="default" w:ascii="仿宋" w:eastAsia="仿宋"/>
          <w:b/>
          <w:color w:val="000000"/>
          <w:szCs w:val="21"/>
          <w:highlight w:val="none"/>
        </w:rPr>
        <w:sectPr>
          <w:footerReference r:id="rId3" w:type="default"/>
          <w:pgSz w:w="11906" w:h="16838"/>
          <w:pgMar w:top="1134" w:right="1134" w:bottom="993" w:left="1134" w:header="851" w:footer="992" w:gutter="0"/>
          <w:cols w:space="425" w:num="1"/>
          <w:docGrid w:type="lines" w:linePitch="312" w:charSpace="0"/>
        </w:sectPr>
      </w:pPr>
    </w:p>
    <w:p>
      <w:pPr>
        <w:jc w:val="left"/>
        <w:rPr>
          <w:rFonts w:hint="default" w:ascii="宋体" w:hAnsi="宋体"/>
          <w:color w:val="000000"/>
          <w:sz w:val="18"/>
          <w:szCs w:val="18"/>
          <w:highlight w:val="none"/>
        </w:rPr>
      </w:pPr>
      <w:r>
        <w:rPr>
          <w:rFonts w:hint="eastAsia" w:ascii="宋体" w:hAnsi="宋体"/>
          <w:color w:val="000000"/>
          <w:sz w:val="18"/>
          <w:szCs w:val="18"/>
          <w:highlight w:val="none"/>
        </w:rPr>
        <w:t>表2</w:t>
      </w:r>
    </w:p>
    <w:p>
      <w:pPr>
        <w:jc w:val="center"/>
        <w:rPr>
          <w:rFonts w:hint="default" w:ascii="仿宋" w:hAnsi="宋体" w:eastAsia="仿宋"/>
          <w:b/>
          <w:color w:val="000000"/>
          <w:sz w:val="28"/>
          <w:szCs w:val="28"/>
          <w:highlight w:val="none"/>
        </w:rPr>
      </w:pPr>
      <w:r>
        <w:rPr>
          <w:rFonts w:hint="eastAsia" w:ascii="仿宋" w:hAnsi="宋体" w:eastAsia="仿宋"/>
          <w:b/>
          <w:color w:val="000000"/>
          <w:sz w:val="28"/>
          <w:szCs w:val="28"/>
          <w:highlight w:val="none"/>
        </w:rPr>
        <w:t>部门收入总体情况表</w:t>
      </w:r>
    </w:p>
    <w:tbl>
      <w:tblPr>
        <w:tblStyle w:val="7"/>
        <w:tblW w:w="147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334"/>
        <w:gridCol w:w="256"/>
        <w:gridCol w:w="247"/>
        <w:gridCol w:w="2433"/>
        <w:gridCol w:w="1070"/>
        <w:gridCol w:w="1128"/>
        <w:gridCol w:w="1082"/>
        <w:gridCol w:w="1082"/>
        <w:gridCol w:w="328"/>
        <w:gridCol w:w="329"/>
        <w:gridCol w:w="1113"/>
        <w:gridCol w:w="885"/>
        <w:gridCol w:w="918"/>
        <w:gridCol w:w="876"/>
        <w:gridCol w:w="876"/>
        <w:gridCol w:w="876"/>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2" w:hRule="atLeast"/>
          <w:tblHeader/>
        </w:trPr>
        <w:tc>
          <w:tcPr>
            <w:tcW w:w="8289" w:type="dxa"/>
            <w:gridSpan w:val="10"/>
            <w:tcBorders>
              <w:top w:val="nil"/>
              <w:left w:val="nil"/>
              <w:bottom w:val="single" w:color="auto" w:sz="4" w:space="0"/>
              <w:right w:val="nil"/>
            </w:tcBorders>
            <w:shd w:val="clear" w:color="auto" w:fill="auto"/>
          </w:tcPr>
          <w:p>
            <w:pPr>
              <w:jc w:val="left"/>
              <w:rPr>
                <w:rFonts w:hint="default" w:ascii="宋体" w:hAnsi="宋体"/>
                <w:sz w:val="18"/>
                <w:szCs w:val="18"/>
                <w:highlight w:val="none"/>
              </w:rPr>
            </w:pPr>
            <w:r>
              <w:rPr>
                <w:rFonts w:hint="eastAsia"/>
                <w:color w:val="000000"/>
                <w:sz w:val="18"/>
                <w:szCs w:val="18"/>
                <w:highlight w:val="none"/>
              </w:rPr>
              <w:t>编制部门：皮山县木奎拉乡卫生院</w:t>
            </w:r>
          </w:p>
        </w:tc>
        <w:tc>
          <w:tcPr>
            <w:tcW w:w="6420" w:type="dxa"/>
            <w:gridSpan w:val="7"/>
            <w:tcBorders>
              <w:top w:val="nil"/>
              <w:left w:val="nil"/>
              <w:bottom w:val="single" w:color="auto" w:sz="4" w:space="0"/>
              <w:right w:val="nil"/>
            </w:tcBorders>
            <w:shd w:val="clear" w:color="auto" w:fill="auto"/>
            <w:vAlign w:val="center"/>
          </w:tcPr>
          <w:p>
            <w:pPr>
              <w:jc w:val="right"/>
              <w:rPr>
                <w:rFonts w:hint="eastAsia"/>
                <w:color w:val="000000"/>
                <w:sz w:val="18"/>
                <w:szCs w:val="18"/>
                <w:highlight w:val="none"/>
              </w:rPr>
            </w:pPr>
            <w:r>
              <w:rPr>
                <w:rFonts w:hint="eastAsia"/>
                <w:color w:val="000000"/>
                <w:sz w:val="18"/>
                <w:szCs w:val="18"/>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2" w:hRule="atLeast"/>
          <w:tblHeader/>
        </w:trPr>
        <w:tc>
          <w:tcPr>
            <w:tcW w:w="837" w:type="dxa"/>
            <w:gridSpan w:val="3"/>
            <w:tcBorders>
              <w:top w:val="single" w:color="auto" w:sz="4" w:space="0"/>
            </w:tcBorders>
            <w:shd w:val="clear" w:color="auto" w:fill="auto"/>
            <w:vAlign w:val="center"/>
          </w:tcPr>
          <w:p>
            <w:pPr>
              <w:jc w:val="center"/>
              <w:rPr>
                <w:rFonts w:hint="default" w:ascii="宋体" w:hAnsi="宋体"/>
                <w:sz w:val="18"/>
                <w:szCs w:val="18"/>
                <w:highlight w:val="none"/>
              </w:rPr>
            </w:pPr>
            <w:r>
              <w:rPr>
                <w:rFonts w:hint="eastAsia" w:ascii="宋体" w:hAnsi="宋体"/>
                <w:sz w:val="18"/>
                <w:szCs w:val="18"/>
                <w:highlight w:val="none"/>
              </w:rPr>
              <w:t>功能分类科目编码</w:t>
            </w:r>
          </w:p>
        </w:tc>
        <w:tc>
          <w:tcPr>
            <w:tcW w:w="2433" w:type="dxa"/>
            <w:vMerge w:val="restart"/>
            <w:tcBorders>
              <w:top w:val="single" w:color="auto" w:sz="4" w:space="0"/>
            </w:tcBorders>
            <w:shd w:val="clear" w:color="auto" w:fill="auto"/>
            <w:vAlign w:val="center"/>
          </w:tcPr>
          <w:p>
            <w:pPr>
              <w:jc w:val="center"/>
              <w:rPr>
                <w:rFonts w:hint="default" w:ascii="宋体" w:hAnsi="宋体"/>
                <w:sz w:val="18"/>
                <w:szCs w:val="18"/>
                <w:highlight w:val="none"/>
              </w:rPr>
            </w:pPr>
            <w:r>
              <w:rPr>
                <w:rFonts w:hint="eastAsia" w:ascii="宋体" w:hAnsi="宋体"/>
                <w:sz w:val="18"/>
                <w:szCs w:val="18"/>
                <w:highlight w:val="none"/>
              </w:rPr>
              <w:t>功能分类科目名称</w:t>
            </w:r>
          </w:p>
        </w:tc>
        <w:tc>
          <w:tcPr>
            <w:tcW w:w="1070" w:type="dxa"/>
            <w:vMerge w:val="restart"/>
            <w:tcBorders>
              <w:top w:val="single" w:color="auto" w:sz="4" w:space="0"/>
            </w:tcBorders>
            <w:shd w:val="clear" w:color="auto" w:fill="auto"/>
            <w:vAlign w:val="center"/>
          </w:tcPr>
          <w:p>
            <w:pPr>
              <w:jc w:val="center"/>
              <w:rPr>
                <w:rFonts w:hint="default" w:ascii="宋体" w:hAnsi="宋体"/>
                <w:sz w:val="18"/>
                <w:szCs w:val="18"/>
                <w:highlight w:val="none"/>
              </w:rPr>
            </w:pPr>
            <w:r>
              <w:rPr>
                <w:rFonts w:hint="eastAsia" w:ascii="宋体" w:hAnsi="宋体"/>
                <w:sz w:val="18"/>
                <w:szCs w:val="18"/>
                <w:highlight w:val="none"/>
              </w:rPr>
              <w:t>总计</w:t>
            </w:r>
          </w:p>
        </w:tc>
        <w:tc>
          <w:tcPr>
            <w:tcW w:w="6865" w:type="dxa"/>
            <w:gridSpan w:val="8"/>
            <w:tcBorders>
              <w:top w:val="single" w:color="auto" w:sz="4" w:space="0"/>
            </w:tcBorders>
            <w:shd w:val="clear" w:color="auto" w:fill="auto"/>
            <w:vAlign w:val="center"/>
          </w:tcPr>
          <w:p>
            <w:pPr>
              <w:jc w:val="center"/>
              <w:rPr>
                <w:rFonts w:hint="default" w:ascii="宋体" w:hAnsi="宋体"/>
                <w:sz w:val="18"/>
                <w:szCs w:val="18"/>
                <w:highlight w:val="none"/>
              </w:rPr>
            </w:pPr>
            <w:r>
              <w:rPr>
                <w:rFonts w:hint="eastAsia" w:ascii="宋体" w:hAnsi="宋体"/>
                <w:sz w:val="18"/>
                <w:szCs w:val="18"/>
                <w:highlight w:val="none"/>
              </w:rPr>
              <w:t>财政拨款（补助）</w:t>
            </w:r>
          </w:p>
        </w:tc>
        <w:tc>
          <w:tcPr>
            <w:tcW w:w="876" w:type="dxa"/>
            <w:vMerge w:val="restart"/>
            <w:tcBorders>
              <w:top w:val="single" w:color="auto" w:sz="4" w:space="0"/>
            </w:tcBorders>
            <w:shd w:val="clear" w:color="auto" w:fill="auto"/>
            <w:vAlign w:val="center"/>
          </w:tcPr>
          <w:p>
            <w:pPr>
              <w:jc w:val="center"/>
              <w:rPr>
                <w:rFonts w:hint="eastAsia" w:ascii="宋体" w:hAnsi="宋体"/>
                <w:sz w:val="18"/>
                <w:szCs w:val="18"/>
                <w:highlight w:val="none"/>
              </w:rPr>
            </w:pPr>
            <w:r>
              <w:rPr>
                <w:rFonts w:hint="eastAsia" w:ascii="宋体" w:hAnsi="宋体"/>
                <w:sz w:val="18"/>
                <w:szCs w:val="18"/>
                <w:highlight w:val="none"/>
              </w:rPr>
              <w:t>财政专户（教育收费）</w:t>
            </w:r>
          </w:p>
        </w:tc>
        <w:tc>
          <w:tcPr>
            <w:tcW w:w="876" w:type="dxa"/>
            <w:vMerge w:val="restart"/>
            <w:tcBorders>
              <w:top w:val="single" w:color="auto" w:sz="4" w:space="0"/>
            </w:tcBorders>
            <w:shd w:val="clear" w:color="auto" w:fill="auto"/>
            <w:vAlign w:val="center"/>
          </w:tcPr>
          <w:p>
            <w:pPr>
              <w:jc w:val="center"/>
              <w:rPr>
                <w:rFonts w:hint="eastAsia" w:ascii="宋体" w:hAnsi="宋体"/>
                <w:sz w:val="18"/>
                <w:szCs w:val="18"/>
                <w:highlight w:val="none"/>
              </w:rPr>
            </w:pPr>
            <w:r>
              <w:rPr>
                <w:rFonts w:hint="eastAsia" w:ascii="宋体" w:hAnsi="宋体"/>
                <w:sz w:val="18"/>
                <w:szCs w:val="18"/>
                <w:highlight w:val="none"/>
              </w:rPr>
              <w:t>单位资金</w:t>
            </w:r>
          </w:p>
        </w:tc>
        <w:tc>
          <w:tcPr>
            <w:tcW w:w="876" w:type="dxa"/>
            <w:vMerge w:val="restart"/>
            <w:tcBorders>
              <w:top w:val="single" w:color="auto" w:sz="4" w:space="0"/>
            </w:tcBorders>
            <w:shd w:val="clear" w:color="auto" w:fill="auto"/>
            <w:vAlign w:val="center"/>
          </w:tcPr>
          <w:p>
            <w:pPr>
              <w:jc w:val="center"/>
              <w:rPr>
                <w:rFonts w:hint="eastAsia" w:ascii="宋体" w:hAnsi="宋体"/>
                <w:sz w:val="18"/>
                <w:szCs w:val="18"/>
                <w:highlight w:val="none"/>
              </w:rPr>
            </w:pPr>
            <w:r>
              <w:rPr>
                <w:rFonts w:hint="eastAsia" w:ascii="宋体" w:hAnsi="宋体"/>
                <w:sz w:val="18"/>
                <w:szCs w:val="18"/>
                <w:highlight w:val="none"/>
              </w:rPr>
              <w:t>财政拨款结转</w:t>
            </w:r>
          </w:p>
        </w:tc>
        <w:tc>
          <w:tcPr>
            <w:tcW w:w="876" w:type="dxa"/>
            <w:vMerge w:val="restart"/>
            <w:tcBorders>
              <w:top w:val="single" w:color="auto" w:sz="4" w:space="0"/>
            </w:tcBorders>
            <w:shd w:val="clear" w:color="auto" w:fill="auto"/>
            <w:vAlign w:val="center"/>
          </w:tcPr>
          <w:p>
            <w:pPr>
              <w:jc w:val="center"/>
              <w:rPr>
                <w:rFonts w:hint="eastAsia" w:ascii="宋体" w:hAnsi="宋体"/>
                <w:sz w:val="18"/>
                <w:szCs w:val="18"/>
                <w:highlight w:val="none"/>
              </w:rPr>
            </w:pPr>
            <w:r>
              <w:rPr>
                <w:rFonts w:hint="eastAsia" w:ascii="宋体" w:hAnsi="宋体"/>
                <w:sz w:val="18"/>
                <w:szCs w:val="18"/>
                <w:highlight w:val="none"/>
              </w:rPr>
              <w:t>非财政拨款结转结余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0" w:hRule="atLeast"/>
          <w:tblHeader/>
        </w:trPr>
        <w:tc>
          <w:tcPr>
            <w:tcW w:w="334" w:type="dxa"/>
            <w:shd w:val="clear" w:color="auto" w:fill="auto"/>
            <w:vAlign w:val="center"/>
          </w:tcPr>
          <w:p>
            <w:pPr>
              <w:jc w:val="center"/>
              <w:rPr>
                <w:rFonts w:hint="default" w:ascii="宋体" w:hAnsi="宋体"/>
                <w:sz w:val="18"/>
                <w:szCs w:val="18"/>
                <w:highlight w:val="none"/>
              </w:rPr>
            </w:pPr>
            <w:r>
              <w:rPr>
                <w:rFonts w:hint="eastAsia" w:ascii="宋体" w:hAnsi="宋体"/>
                <w:sz w:val="18"/>
                <w:szCs w:val="18"/>
                <w:highlight w:val="none"/>
              </w:rPr>
              <w:t>类</w:t>
            </w:r>
          </w:p>
        </w:tc>
        <w:tc>
          <w:tcPr>
            <w:tcW w:w="256" w:type="dxa"/>
            <w:shd w:val="clear" w:color="auto" w:fill="auto"/>
            <w:vAlign w:val="center"/>
          </w:tcPr>
          <w:p>
            <w:pPr>
              <w:jc w:val="center"/>
              <w:rPr>
                <w:rFonts w:hint="default" w:ascii="宋体" w:hAnsi="宋体"/>
                <w:sz w:val="18"/>
                <w:szCs w:val="18"/>
                <w:highlight w:val="none"/>
              </w:rPr>
            </w:pPr>
            <w:r>
              <w:rPr>
                <w:rFonts w:hint="eastAsia" w:ascii="宋体" w:hAnsi="宋体"/>
                <w:sz w:val="18"/>
                <w:szCs w:val="18"/>
                <w:highlight w:val="none"/>
              </w:rPr>
              <w:t>款</w:t>
            </w:r>
          </w:p>
        </w:tc>
        <w:tc>
          <w:tcPr>
            <w:tcW w:w="247" w:type="dxa"/>
            <w:shd w:val="clear" w:color="auto" w:fill="auto"/>
            <w:vAlign w:val="center"/>
          </w:tcPr>
          <w:p>
            <w:pPr>
              <w:jc w:val="center"/>
              <w:rPr>
                <w:rFonts w:hint="default" w:ascii="宋体" w:hAnsi="宋体"/>
                <w:sz w:val="18"/>
                <w:szCs w:val="18"/>
                <w:highlight w:val="none"/>
              </w:rPr>
            </w:pPr>
            <w:r>
              <w:rPr>
                <w:rFonts w:hint="eastAsia" w:ascii="宋体" w:hAnsi="宋体"/>
                <w:sz w:val="18"/>
                <w:szCs w:val="18"/>
                <w:highlight w:val="none"/>
              </w:rPr>
              <w:t>项</w:t>
            </w:r>
          </w:p>
        </w:tc>
        <w:tc>
          <w:tcPr>
            <w:tcW w:w="2433" w:type="dxa"/>
            <w:vMerge w:val="continue"/>
            <w:shd w:val="clear" w:color="auto" w:fill="auto"/>
            <w:vAlign w:val="center"/>
          </w:tcPr>
          <w:p>
            <w:pPr>
              <w:jc w:val="center"/>
              <w:rPr>
                <w:rFonts w:hint="default" w:ascii="宋体" w:hAnsi="宋体"/>
                <w:sz w:val="18"/>
                <w:szCs w:val="18"/>
                <w:highlight w:val="none"/>
              </w:rPr>
            </w:pPr>
          </w:p>
        </w:tc>
        <w:tc>
          <w:tcPr>
            <w:tcW w:w="1070" w:type="dxa"/>
            <w:vMerge w:val="continue"/>
            <w:shd w:val="clear" w:color="auto" w:fill="auto"/>
            <w:vAlign w:val="center"/>
          </w:tcPr>
          <w:p>
            <w:pPr>
              <w:jc w:val="center"/>
              <w:rPr>
                <w:rFonts w:hint="default" w:ascii="宋体" w:hAnsi="宋体"/>
                <w:sz w:val="18"/>
                <w:szCs w:val="18"/>
                <w:highlight w:val="none"/>
              </w:rPr>
            </w:pPr>
          </w:p>
        </w:tc>
        <w:tc>
          <w:tcPr>
            <w:tcW w:w="1128" w:type="dxa"/>
            <w:shd w:val="clear" w:color="auto" w:fill="auto"/>
            <w:vAlign w:val="center"/>
          </w:tcPr>
          <w:p>
            <w:pPr>
              <w:jc w:val="center"/>
              <w:rPr>
                <w:rFonts w:hint="eastAsia" w:ascii="宋体" w:hAnsi="宋体"/>
                <w:sz w:val="18"/>
                <w:szCs w:val="18"/>
                <w:highlight w:val="none"/>
              </w:rPr>
            </w:pPr>
            <w:r>
              <w:rPr>
                <w:rFonts w:hint="eastAsia" w:ascii="宋体" w:hAnsi="宋体"/>
                <w:sz w:val="18"/>
                <w:szCs w:val="18"/>
                <w:highlight w:val="none"/>
              </w:rPr>
              <w:t>财政拨款(补助)小计</w:t>
            </w:r>
          </w:p>
        </w:tc>
        <w:tc>
          <w:tcPr>
            <w:tcW w:w="1082" w:type="dxa"/>
            <w:shd w:val="clear" w:color="auto" w:fill="auto"/>
            <w:vAlign w:val="center"/>
          </w:tcPr>
          <w:p>
            <w:pPr>
              <w:jc w:val="center"/>
              <w:rPr>
                <w:rFonts w:hint="eastAsia" w:ascii="宋体" w:hAnsi="宋体"/>
                <w:sz w:val="18"/>
                <w:szCs w:val="18"/>
                <w:highlight w:val="none"/>
              </w:rPr>
            </w:pPr>
            <w:r>
              <w:rPr>
                <w:rFonts w:hint="eastAsia" w:ascii="宋体" w:hAnsi="宋体"/>
                <w:sz w:val="18"/>
                <w:szCs w:val="18"/>
                <w:highlight w:val="none"/>
              </w:rPr>
              <w:t>一般公共预算</w:t>
            </w:r>
          </w:p>
        </w:tc>
        <w:tc>
          <w:tcPr>
            <w:tcW w:w="1082" w:type="dxa"/>
            <w:shd w:val="clear" w:color="auto" w:fill="auto"/>
            <w:vAlign w:val="center"/>
          </w:tcPr>
          <w:p>
            <w:pPr>
              <w:jc w:val="center"/>
              <w:rPr>
                <w:rFonts w:hint="eastAsia" w:ascii="宋体" w:hAnsi="宋体"/>
                <w:sz w:val="18"/>
                <w:szCs w:val="18"/>
                <w:highlight w:val="none"/>
              </w:rPr>
            </w:pPr>
            <w:r>
              <w:rPr>
                <w:rFonts w:hint="eastAsia" w:ascii="宋体" w:hAnsi="宋体"/>
                <w:sz w:val="18"/>
                <w:szCs w:val="18"/>
                <w:highlight w:val="none"/>
              </w:rPr>
              <w:t>上级一般公共预算安排的转移支付</w:t>
            </w:r>
          </w:p>
        </w:tc>
        <w:tc>
          <w:tcPr>
            <w:tcW w:w="328" w:type="dxa"/>
            <w:shd w:val="clear" w:color="auto" w:fill="auto"/>
            <w:vAlign w:val="center"/>
          </w:tcPr>
          <w:p>
            <w:pPr>
              <w:jc w:val="center"/>
              <w:rPr>
                <w:rFonts w:hint="eastAsia" w:ascii="宋体" w:hAnsi="宋体"/>
                <w:sz w:val="18"/>
                <w:szCs w:val="18"/>
                <w:highlight w:val="none"/>
              </w:rPr>
            </w:pPr>
            <w:r>
              <w:rPr>
                <w:rFonts w:hint="eastAsia" w:ascii="宋体" w:hAnsi="宋体"/>
                <w:sz w:val="18"/>
                <w:szCs w:val="18"/>
                <w:highlight w:val="none"/>
              </w:rPr>
              <w:t>政府性基金预算</w:t>
            </w:r>
          </w:p>
        </w:tc>
        <w:tc>
          <w:tcPr>
            <w:tcW w:w="1442" w:type="dxa"/>
            <w:gridSpan w:val="2"/>
            <w:shd w:val="clear" w:color="auto" w:fill="auto"/>
            <w:vAlign w:val="center"/>
          </w:tcPr>
          <w:p>
            <w:pPr>
              <w:jc w:val="center"/>
              <w:rPr>
                <w:rFonts w:hint="eastAsia" w:ascii="宋体" w:hAnsi="宋体"/>
                <w:sz w:val="18"/>
                <w:szCs w:val="18"/>
                <w:highlight w:val="none"/>
              </w:rPr>
            </w:pPr>
            <w:r>
              <w:rPr>
                <w:rFonts w:hint="eastAsia" w:ascii="宋体" w:hAnsi="宋体"/>
                <w:sz w:val="18"/>
                <w:szCs w:val="18"/>
                <w:highlight w:val="none"/>
              </w:rPr>
              <w:t>上级政府性基金安排的转移支付</w:t>
            </w:r>
          </w:p>
        </w:tc>
        <w:tc>
          <w:tcPr>
            <w:tcW w:w="885" w:type="dxa"/>
            <w:shd w:val="clear" w:color="auto" w:fill="auto"/>
            <w:vAlign w:val="center"/>
          </w:tcPr>
          <w:p>
            <w:pPr>
              <w:jc w:val="center"/>
              <w:rPr>
                <w:rFonts w:hint="eastAsia" w:ascii="宋体" w:hAnsi="宋体"/>
                <w:sz w:val="18"/>
                <w:szCs w:val="18"/>
                <w:highlight w:val="none"/>
              </w:rPr>
            </w:pPr>
            <w:r>
              <w:rPr>
                <w:rFonts w:hint="eastAsia" w:ascii="宋体" w:hAnsi="宋体"/>
                <w:sz w:val="18"/>
                <w:szCs w:val="18"/>
                <w:highlight w:val="none"/>
              </w:rPr>
              <w:t>国有资本经营预算</w:t>
            </w:r>
          </w:p>
        </w:tc>
        <w:tc>
          <w:tcPr>
            <w:tcW w:w="918" w:type="dxa"/>
            <w:shd w:val="clear" w:color="auto" w:fill="auto"/>
            <w:vAlign w:val="center"/>
          </w:tcPr>
          <w:p>
            <w:pPr>
              <w:jc w:val="center"/>
              <w:rPr>
                <w:rFonts w:hint="default" w:ascii="宋体" w:hAnsi="宋体"/>
                <w:sz w:val="18"/>
                <w:szCs w:val="18"/>
                <w:highlight w:val="none"/>
              </w:rPr>
            </w:pPr>
            <w:r>
              <w:rPr>
                <w:rFonts w:hint="eastAsia" w:ascii="宋体" w:hAnsi="宋体"/>
                <w:sz w:val="18"/>
                <w:szCs w:val="18"/>
                <w:highlight w:val="none"/>
              </w:rPr>
              <w:t>上级国有资本经营预算安排的转移支付</w:t>
            </w:r>
          </w:p>
        </w:tc>
        <w:tc>
          <w:tcPr>
            <w:tcW w:w="876" w:type="dxa"/>
            <w:vMerge w:val="continue"/>
            <w:shd w:val="clear" w:color="auto" w:fill="auto"/>
          </w:tcPr>
          <w:p>
            <w:pPr>
              <w:jc w:val="center"/>
              <w:rPr>
                <w:rFonts w:hint="default" w:ascii="宋体" w:hAnsi="宋体"/>
                <w:sz w:val="18"/>
                <w:szCs w:val="18"/>
                <w:highlight w:val="none"/>
              </w:rPr>
            </w:pPr>
          </w:p>
        </w:tc>
        <w:tc>
          <w:tcPr>
            <w:tcW w:w="876" w:type="dxa"/>
            <w:vMerge w:val="continue"/>
            <w:shd w:val="clear" w:color="auto" w:fill="auto"/>
          </w:tcPr>
          <w:p>
            <w:pPr>
              <w:jc w:val="center"/>
              <w:rPr>
                <w:rFonts w:hint="default" w:ascii="宋体" w:hAnsi="宋体"/>
                <w:sz w:val="18"/>
                <w:szCs w:val="18"/>
                <w:highlight w:val="none"/>
              </w:rPr>
            </w:pPr>
          </w:p>
        </w:tc>
        <w:tc>
          <w:tcPr>
            <w:tcW w:w="876" w:type="dxa"/>
            <w:vMerge w:val="continue"/>
            <w:shd w:val="clear" w:color="auto" w:fill="auto"/>
          </w:tcPr>
          <w:p>
            <w:pPr>
              <w:jc w:val="center"/>
              <w:rPr>
                <w:rFonts w:hint="default" w:ascii="宋体" w:hAnsi="宋体"/>
                <w:sz w:val="18"/>
                <w:szCs w:val="18"/>
                <w:highlight w:val="none"/>
              </w:rPr>
            </w:pPr>
          </w:p>
        </w:tc>
        <w:tc>
          <w:tcPr>
            <w:tcW w:w="876" w:type="dxa"/>
            <w:vMerge w:val="continue"/>
            <w:shd w:val="clear" w:color="auto" w:fill="auto"/>
          </w:tcPr>
          <w:p>
            <w:pPr>
              <w:jc w:val="center"/>
              <w:rPr>
                <w:rFonts w:hint="default" w:ascii="宋体" w:hAnsi="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tblHeader/>
        </w:trPr>
        <w:tc>
          <w:tcPr>
            <w:tcW w:w="3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w:t>
            </w:r>
          </w:p>
        </w:tc>
        <w:tc>
          <w:tcPr>
            <w:tcW w:w="256"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w:t>
            </w:r>
          </w:p>
        </w:tc>
        <w:tc>
          <w:tcPr>
            <w:tcW w:w="24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w:t>
            </w:r>
          </w:p>
        </w:tc>
        <w:tc>
          <w:tcPr>
            <w:tcW w:w="2433"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w:t>
            </w:r>
          </w:p>
        </w:tc>
        <w:tc>
          <w:tcPr>
            <w:tcW w:w="1070" w:type="dxa"/>
            <w:shd w:val="clear" w:color="auto" w:fill="auto"/>
            <w:vAlign w:val="center"/>
          </w:tcPr>
          <w:p>
            <w:pPr>
              <w:jc w:val="center"/>
              <w:rPr>
                <w:rFonts w:hint="default" w:ascii="宋体" w:hAnsi="宋体"/>
                <w:sz w:val="18"/>
                <w:szCs w:val="18"/>
                <w:highlight w:val="none"/>
              </w:rPr>
            </w:pPr>
            <w:r>
              <w:rPr>
                <w:rFonts w:hint="eastAsia" w:ascii="宋体" w:hAnsi="宋体"/>
                <w:sz w:val="18"/>
                <w:szCs w:val="18"/>
                <w:highlight w:val="none"/>
              </w:rPr>
              <w:t>1</w:t>
            </w:r>
          </w:p>
        </w:tc>
        <w:tc>
          <w:tcPr>
            <w:tcW w:w="1128" w:type="dxa"/>
            <w:shd w:val="clear" w:color="auto" w:fill="auto"/>
            <w:vAlign w:val="center"/>
          </w:tcPr>
          <w:p>
            <w:pPr>
              <w:jc w:val="center"/>
              <w:rPr>
                <w:rFonts w:hint="default" w:ascii="宋体" w:hAnsi="宋体"/>
                <w:sz w:val="18"/>
                <w:szCs w:val="18"/>
                <w:highlight w:val="none"/>
              </w:rPr>
            </w:pPr>
            <w:r>
              <w:rPr>
                <w:rFonts w:hint="eastAsia" w:ascii="宋体" w:hAnsi="宋体"/>
                <w:sz w:val="18"/>
                <w:szCs w:val="18"/>
                <w:highlight w:val="none"/>
              </w:rPr>
              <w:t>2</w:t>
            </w:r>
          </w:p>
        </w:tc>
        <w:tc>
          <w:tcPr>
            <w:tcW w:w="1082" w:type="dxa"/>
            <w:shd w:val="clear" w:color="auto" w:fill="auto"/>
            <w:vAlign w:val="center"/>
          </w:tcPr>
          <w:p>
            <w:pPr>
              <w:jc w:val="center"/>
              <w:rPr>
                <w:rFonts w:hint="default" w:ascii="宋体" w:hAnsi="宋体"/>
                <w:sz w:val="18"/>
                <w:szCs w:val="18"/>
                <w:highlight w:val="none"/>
              </w:rPr>
            </w:pPr>
            <w:r>
              <w:rPr>
                <w:rFonts w:hint="eastAsia" w:ascii="宋体" w:hAnsi="宋体"/>
                <w:sz w:val="18"/>
                <w:szCs w:val="18"/>
                <w:highlight w:val="none"/>
              </w:rPr>
              <w:t>3</w:t>
            </w:r>
          </w:p>
        </w:tc>
        <w:tc>
          <w:tcPr>
            <w:tcW w:w="1082" w:type="dxa"/>
            <w:shd w:val="clear" w:color="auto" w:fill="auto"/>
            <w:vAlign w:val="center"/>
          </w:tcPr>
          <w:p>
            <w:pPr>
              <w:jc w:val="center"/>
              <w:rPr>
                <w:rFonts w:hint="default" w:ascii="宋体" w:hAnsi="宋体"/>
                <w:sz w:val="18"/>
                <w:szCs w:val="18"/>
                <w:highlight w:val="none"/>
              </w:rPr>
            </w:pPr>
            <w:r>
              <w:rPr>
                <w:rFonts w:hint="eastAsia" w:ascii="宋体" w:hAnsi="宋体"/>
                <w:sz w:val="18"/>
                <w:szCs w:val="18"/>
                <w:highlight w:val="none"/>
              </w:rPr>
              <w:t>4</w:t>
            </w:r>
          </w:p>
        </w:tc>
        <w:tc>
          <w:tcPr>
            <w:tcW w:w="328" w:type="dxa"/>
            <w:shd w:val="clear" w:color="auto" w:fill="auto"/>
          </w:tcPr>
          <w:p>
            <w:pPr>
              <w:jc w:val="center"/>
              <w:rPr>
                <w:rFonts w:hint="default" w:ascii="宋体" w:hAnsi="宋体"/>
                <w:sz w:val="18"/>
                <w:szCs w:val="18"/>
                <w:highlight w:val="none"/>
              </w:rPr>
            </w:pPr>
            <w:r>
              <w:rPr>
                <w:rFonts w:hint="eastAsia" w:ascii="宋体" w:hAnsi="宋体"/>
                <w:sz w:val="18"/>
                <w:szCs w:val="18"/>
                <w:highlight w:val="none"/>
              </w:rPr>
              <w:t>5</w:t>
            </w:r>
          </w:p>
        </w:tc>
        <w:tc>
          <w:tcPr>
            <w:tcW w:w="1442" w:type="dxa"/>
            <w:gridSpan w:val="2"/>
            <w:shd w:val="clear" w:color="auto" w:fill="auto"/>
            <w:vAlign w:val="center"/>
          </w:tcPr>
          <w:p>
            <w:pPr>
              <w:jc w:val="center"/>
              <w:rPr>
                <w:rFonts w:hint="default" w:ascii="宋体" w:hAnsi="宋体"/>
                <w:sz w:val="18"/>
                <w:szCs w:val="18"/>
                <w:highlight w:val="none"/>
              </w:rPr>
            </w:pPr>
            <w:r>
              <w:rPr>
                <w:rFonts w:hint="eastAsia" w:ascii="宋体" w:hAnsi="宋体"/>
                <w:sz w:val="18"/>
                <w:szCs w:val="18"/>
                <w:highlight w:val="none"/>
              </w:rPr>
              <w:t>6</w:t>
            </w:r>
          </w:p>
        </w:tc>
        <w:tc>
          <w:tcPr>
            <w:tcW w:w="885" w:type="dxa"/>
            <w:shd w:val="clear" w:color="auto" w:fill="auto"/>
            <w:vAlign w:val="center"/>
          </w:tcPr>
          <w:p>
            <w:pPr>
              <w:jc w:val="center"/>
              <w:rPr>
                <w:rFonts w:hint="default" w:ascii="宋体" w:hAnsi="宋体"/>
                <w:sz w:val="18"/>
                <w:szCs w:val="18"/>
                <w:highlight w:val="none"/>
              </w:rPr>
            </w:pPr>
            <w:r>
              <w:rPr>
                <w:rFonts w:hint="eastAsia" w:ascii="宋体" w:hAnsi="宋体"/>
                <w:sz w:val="18"/>
                <w:szCs w:val="18"/>
                <w:highlight w:val="none"/>
              </w:rPr>
              <w:t>7</w:t>
            </w:r>
          </w:p>
        </w:tc>
        <w:tc>
          <w:tcPr>
            <w:tcW w:w="918" w:type="dxa"/>
            <w:shd w:val="clear" w:color="auto" w:fill="auto"/>
          </w:tcPr>
          <w:p>
            <w:pPr>
              <w:jc w:val="center"/>
              <w:rPr>
                <w:rFonts w:hint="default" w:ascii="宋体" w:hAnsi="宋体"/>
                <w:sz w:val="18"/>
                <w:szCs w:val="18"/>
                <w:highlight w:val="none"/>
              </w:rPr>
            </w:pPr>
            <w:r>
              <w:rPr>
                <w:rFonts w:hint="eastAsia" w:ascii="宋体" w:hAnsi="宋体"/>
                <w:sz w:val="18"/>
                <w:szCs w:val="18"/>
                <w:highlight w:val="none"/>
              </w:rPr>
              <w:t>8</w:t>
            </w:r>
          </w:p>
        </w:tc>
        <w:tc>
          <w:tcPr>
            <w:tcW w:w="876" w:type="dxa"/>
            <w:shd w:val="clear" w:color="auto" w:fill="auto"/>
          </w:tcPr>
          <w:p>
            <w:pPr>
              <w:jc w:val="center"/>
              <w:rPr>
                <w:rFonts w:hint="default" w:ascii="宋体" w:hAnsi="宋体"/>
                <w:sz w:val="18"/>
                <w:szCs w:val="18"/>
                <w:highlight w:val="none"/>
              </w:rPr>
            </w:pPr>
            <w:r>
              <w:rPr>
                <w:rFonts w:hint="eastAsia" w:ascii="宋体" w:hAnsi="宋体"/>
                <w:sz w:val="18"/>
                <w:szCs w:val="18"/>
                <w:highlight w:val="none"/>
              </w:rPr>
              <w:t>9</w:t>
            </w:r>
          </w:p>
        </w:tc>
        <w:tc>
          <w:tcPr>
            <w:tcW w:w="876" w:type="dxa"/>
            <w:shd w:val="clear" w:color="auto" w:fill="auto"/>
          </w:tcPr>
          <w:p>
            <w:pPr>
              <w:jc w:val="center"/>
              <w:rPr>
                <w:rFonts w:hint="default" w:ascii="宋体" w:hAnsi="宋体"/>
                <w:sz w:val="18"/>
                <w:szCs w:val="18"/>
                <w:highlight w:val="none"/>
              </w:rPr>
            </w:pPr>
            <w:r>
              <w:rPr>
                <w:rFonts w:hint="eastAsia" w:ascii="宋体" w:hAnsi="宋体"/>
                <w:sz w:val="18"/>
                <w:szCs w:val="18"/>
                <w:highlight w:val="none"/>
              </w:rPr>
              <w:t>10</w:t>
            </w:r>
          </w:p>
        </w:tc>
        <w:tc>
          <w:tcPr>
            <w:tcW w:w="876" w:type="dxa"/>
            <w:shd w:val="clear" w:color="auto" w:fill="auto"/>
          </w:tcPr>
          <w:p>
            <w:pPr>
              <w:jc w:val="center"/>
              <w:rPr>
                <w:rFonts w:hint="eastAsia" w:ascii="宋体" w:hAnsi="宋体"/>
                <w:sz w:val="18"/>
                <w:szCs w:val="18"/>
                <w:highlight w:val="none"/>
              </w:rPr>
            </w:pPr>
            <w:r>
              <w:rPr>
                <w:rFonts w:hint="eastAsia" w:ascii="宋体" w:hAnsi="宋体"/>
                <w:sz w:val="18"/>
                <w:szCs w:val="18"/>
                <w:highlight w:val="none"/>
              </w:rPr>
              <w:t>11</w:t>
            </w:r>
          </w:p>
        </w:tc>
        <w:tc>
          <w:tcPr>
            <w:tcW w:w="876" w:type="dxa"/>
            <w:shd w:val="clear" w:color="auto" w:fill="auto"/>
          </w:tcPr>
          <w:p>
            <w:pPr>
              <w:jc w:val="center"/>
              <w:rPr>
                <w:rFonts w:hint="eastAsia" w:ascii="宋体" w:hAnsi="宋体"/>
                <w:sz w:val="18"/>
                <w:szCs w:val="18"/>
                <w:highlight w:val="none"/>
              </w:rPr>
            </w:pPr>
            <w:r>
              <w:rPr>
                <w:rFonts w:hint="eastAsia" w:ascii="宋体" w:hAnsi="宋体"/>
                <w:sz w:val="18"/>
                <w:szCs w:val="18"/>
                <w:highlight w:val="none"/>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highlight w:val="none"/>
              </w:rPr>
            </w:pPr>
          </w:p>
        </w:tc>
        <w:tc>
          <w:tcPr>
            <w:tcW w:w="256" w:type="dxa"/>
            <w:shd w:val="clear" w:color="auto" w:fill="auto"/>
            <w:vAlign w:val="center"/>
          </w:tcPr>
          <w:p>
            <w:pPr>
              <w:jc w:val="center"/>
              <w:rPr>
                <w:rFonts w:hint="default" w:ascii="宋体" w:hAnsi="宋体"/>
                <w:b/>
                <w:sz w:val="18"/>
                <w:szCs w:val="18"/>
                <w:highlight w:val="none"/>
              </w:rPr>
            </w:pPr>
          </w:p>
        </w:tc>
        <w:tc>
          <w:tcPr>
            <w:tcW w:w="247" w:type="dxa"/>
            <w:shd w:val="clear" w:color="auto" w:fill="auto"/>
            <w:vAlign w:val="center"/>
          </w:tcPr>
          <w:p>
            <w:pPr>
              <w:jc w:val="center"/>
              <w:rPr>
                <w:rFonts w:hint="default" w:ascii="宋体" w:hAnsi="宋体"/>
                <w:b/>
                <w:sz w:val="18"/>
                <w:szCs w:val="18"/>
                <w:highlight w:val="none"/>
              </w:rPr>
            </w:pPr>
          </w:p>
        </w:tc>
        <w:tc>
          <w:tcPr>
            <w:tcW w:w="2433"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总计</w:t>
            </w:r>
          </w:p>
        </w:tc>
        <w:tc>
          <w:tcPr>
            <w:tcW w:w="1070"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1,799.54</w:t>
            </w:r>
          </w:p>
        </w:tc>
        <w:tc>
          <w:tcPr>
            <w:tcW w:w="1128"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607.40</w:t>
            </w:r>
          </w:p>
        </w:tc>
        <w:tc>
          <w:tcPr>
            <w:tcW w:w="1082"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607.40</w:t>
            </w:r>
          </w:p>
        </w:tc>
        <w:tc>
          <w:tcPr>
            <w:tcW w:w="1082" w:type="dxa"/>
            <w:shd w:val="clear" w:color="auto" w:fill="auto"/>
            <w:vAlign w:val="center"/>
          </w:tcPr>
          <w:p>
            <w:pPr>
              <w:jc w:val="right"/>
              <w:rPr>
                <w:rFonts w:hint="default" w:ascii="宋体" w:hAnsi="宋体"/>
                <w:b/>
                <w:sz w:val="15"/>
                <w:szCs w:val="15"/>
                <w:highlight w:val="none"/>
              </w:rPr>
            </w:pPr>
          </w:p>
        </w:tc>
        <w:tc>
          <w:tcPr>
            <w:tcW w:w="328" w:type="dxa"/>
            <w:shd w:val="clear" w:color="auto" w:fill="auto"/>
            <w:vAlign w:val="center"/>
          </w:tcPr>
          <w:p>
            <w:pPr>
              <w:jc w:val="right"/>
              <w:rPr>
                <w:rFonts w:hint="default" w:ascii="宋体" w:hAnsi="宋体"/>
                <w:b/>
                <w:sz w:val="18"/>
                <w:szCs w:val="18"/>
                <w:highlight w:val="none"/>
              </w:rPr>
            </w:pPr>
          </w:p>
        </w:tc>
        <w:tc>
          <w:tcPr>
            <w:tcW w:w="1442" w:type="dxa"/>
            <w:gridSpan w:val="2"/>
            <w:shd w:val="clear" w:color="auto" w:fill="auto"/>
            <w:vAlign w:val="center"/>
          </w:tcPr>
          <w:p>
            <w:pPr>
              <w:jc w:val="right"/>
              <w:rPr>
                <w:rFonts w:hint="default" w:ascii="宋体" w:hAnsi="宋体"/>
                <w:b/>
                <w:sz w:val="18"/>
                <w:szCs w:val="18"/>
                <w:highlight w:val="none"/>
              </w:rPr>
            </w:pPr>
          </w:p>
        </w:tc>
        <w:tc>
          <w:tcPr>
            <w:tcW w:w="885" w:type="dxa"/>
            <w:shd w:val="clear" w:color="auto" w:fill="auto"/>
            <w:vAlign w:val="center"/>
          </w:tcPr>
          <w:p>
            <w:pPr>
              <w:jc w:val="right"/>
              <w:rPr>
                <w:rFonts w:hint="default" w:ascii="宋体" w:hAnsi="宋体"/>
                <w:b/>
                <w:sz w:val="18"/>
                <w:szCs w:val="18"/>
                <w:highlight w:val="none"/>
              </w:rPr>
            </w:pPr>
          </w:p>
        </w:tc>
        <w:tc>
          <w:tcPr>
            <w:tcW w:w="918"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1,100.00</w:t>
            </w:r>
          </w:p>
        </w:tc>
        <w:tc>
          <w:tcPr>
            <w:tcW w:w="876" w:type="dxa"/>
            <w:shd w:val="clear" w:color="auto" w:fill="auto"/>
            <w:vAlign w:val="center"/>
          </w:tcPr>
          <w:p>
            <w:pPr>
              <w:jc w:val="right"/>
              <w:rPr>
                <w:rFonts w:hint="eastAsia" w:ascii="宋体" w:hAnsi="宋体"/>
                <w:b/>
                <w:color w:val="000000"/>
                <w:sz w:val="18"/>
                <w:szCs w:val="18"/>
                <w:highlight w:val="none"/>
              </w:rPr>
            </w:pPr>
            <w:r>
              <w:rPr>
                <w:rFonts w:hint="eastAsia" w:ascii="宋体" w:hAnsi="宋体"/>
                <w:b/>
                <w:color w:val="000000"/>
                <w:sz w:val="15"/>
                <w:szCs w:val="15"/>
                <w:highlight w:val="none"/>
              </w:rPr>
              <w:t>92.14</w:t>
            </w:r>
          </w:p>
        </w:tc>
        <w:tc>
          <w:tcPr>
            <w:tcW w:w="876"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208</w:t>
            </w:r>
          </w:p>
        </w:tc>
        <w:tc>
          <w:tcPr>
            <w:tcW w:w="256" w:type="dxa"/>
            <w:shd w:val="clear" w:color="auto" w:fill="auto"/>
            <w:vAlign w:val="center"/>
          </w:tcPr>
          <w:p>
            <w:pPr>
              <w:jc w:val="center"/>
              <w:rPr>
                <w:rFonts w:hint="default" w:ascii="宋体" w:hAnsi="宋体"/>
                <w:b/>
                <w:sz w:val="18"/>
                <w:szCs w:val="18"/>
                <w:highlight w:val="none"/>
              </w:rPr>
            </w:pPr>
          </w:p>
        </w:tc>
        <w:tc>
          <w:tcPr>
            <w:tcW w:w="247" w:type="dxa"/>
            <w:shd w:val="clear" w:color="auto" w:fill="auto"/>
            <w:vAlign w:val="center"/>
          </w:tcPr>
          <w:p>
            <w:pPr>
              <w:jc w:val="center"/>
              <w:rPr>
                <w:rFonts w:hint="default" w:ascii="宋体" w:hAnsi="宋体"/>
                <w:b/>
                <w:sz w:val="18"/>
                <w:szCs w:val="18"/>
                <w:highlight w:val="none"/>
              </w:rPr>
            </w:pPr>
          </w:p>
        </w:tc>
        <w:tc>
          <w:tcPr>
            <w:tcW w:w="2433"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5"/>
                <w:szCs w:val="15"/>
                <w:highlight w:val="none"/>
              </w:rPr>
              <w:t>社会保障和就业支出</w:t>
            </w:r>
          </w:p>
        </w:tc>
        <w:tc>
          <w:tcPr>
            <w:tcW w:w="1070"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77.45</w:t>
            </w:r>
          </w:p>
        </w:tc>
        <w:tc>
          <w:tcPr>
            <w:tcW w:w="1128"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77.45</w:t>
            </w:r>
          </w:p>
        </w:tc>
        <w:tc>
          <w:tcPr>
            <w:tcW w:w="1082"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77.45</w:t>
            </w:r>
          </w:p>
        </w:tc>
        <w:tc>
          <w:tcPr>
            <w:tcW w:w="1082" w:type="dxa"/>
            <w:shd w:val="clear" w:color="auto" w:fill="auto"/>
            <w:vAlign w:val="center"/>
          </w:tcPr>
          <w:p>
            <w:pPr>
              <w:jc w:val="right"/>
              <w:rPr>
                <w:rFonts w:hint="default" w:ascii="宋体" w:hAnsi="宋体"/>
                <w:b/>
                <w:sz w:val="15"/>
                <w:szCs w:val="15"/>
                <w:highlight w:val="none"/>
              </w:rPr>
            </w:pPr>
          </w:p>
        </w:tc>
        <w:tc>
          <w:tcPr>
            <w:tcW w:w="328" w:type="dxa"/>
            <w:shd w:val="clear" w:color="auto" w:fill="auto"/>
            <w:vAlign w:val="center"/>
          </w:tcPr>
          <w:p>
            <w:pPr>
              <w:jc w:val="right"/>
              <w:rPr>
                <w:rFonts w:hint="default" w:ascii="宋体" w:hAnsi="宋体"/>
                <w:b/>
                <w:sz w:val="18"/>
                <w:szCs w:val="18"/>
                <w:highlight w:val="none"/>
              </w:rPr>
            </w:pPr>
          </w:p>
        </w:tc>
        <w:tc>
          <w:tcPr>
            <w:tcW w:w="1442" w:type="dxa"/>
            <w:gridSpan w:val="2"/>
            <w:shd w:val="clear" w:color="auto" w:fill="auto"/>
            <w:vAlign w:val="center"/>
          </w:tcPr>
          <w:p>
            <w:pPr>
              <w:jc w:val="right"/>
              <w:rPr>
                <w:rFonts w:hint="default" w:ascii="宋体" w:hAnsi="宋体"/>
                <w:b/>
                <w:sz w:val="18"/>
                <w:szCs w:val="18"/>
                <w:highlight w:val="none"/>
              </w:rPr>
            </w:pPr>
          </w:p>
        </w:tc>
        <w:tc>
          <w:tcPr>
            <w:tcW w:w="885" w:type="dxa"/>
            <w:shd w:val="clear" w:color="auto" w:fill="auto"/>
            <w:vAlign w:val="center"/>
          </w:tcPr>
          <w:p>
            <w:pPr>
              <w:jc w:val="right"/>
              <w:rPr>
                <w:rFonts w:hint="default" w:ascii="宋体" w:hAnsi="宋体"/>
                <w:b/>
                <w:sz w:val="18"/>
                <w:szCs w:val="18"/>
                <w:highlight w:val="none"/>
              </w:rPr>
            </w:pPr>
          </w:p>
        </w:tc>
        <w:tc>
          <w:tcPr>
            <w:tcW w:w="918"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eastAsia" w:ascii="宋体" w:hAnsi="宋体"/>
                <w:b/>
                <w:color w:val="000000"/>
                <w:sz w:val="18"/>
                <w:szCs w:val="18"/>
                <w:highlight w:val="none"/>
              </w:rPr>
            </w:pPr>
          </w:p>
        </w:tc>
        <w:tc>
          <w:tcPr>
            <w:tcW w:w="876"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208</w:t>
            </w:r>
          </w:p>
        </w:tc>
        <w:tc>
          <w:tcPr>
            <w:tcW w:w="256"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05</w:t>
            </w:r>
          </w:p>
        </w:tc>
        <w:tc>
          <w:tcPr>
            <w:tcW w:w="247" w:type="dxa"/>
            <w:shd w:val="clear" w:color="auto" w:fill="auto"/>
            <w:vAlign w:val="center"/>
          </w:tcPr>
          <w:p>
            <w:pPr>
              <w:jc w:val="center"/>
              <w:rPr>
                <w:rFonts w:hint="default" w:ascii="宋体" w:hAnsi="宋体"/>
                <w:b/>
                <w:sz w:val="18"/>
                <w:szCs w:val="18"/>
                <w:highlight w:val="none"/>
              </w:rPr>
            </w:pPr>
          </w:p>
        </w:tc>
        <w:tc>
          <w:tcPr>
            <w:tcW w:w="2433"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5"/>
                <w:szCs w:val="15"/>
                <w:highlight w:val="none"/>
              </w:rPr>
              <w:t xml:space="preserve">  行政事业单位养老支出</w:t>
            </w:r>
          </w:p>
        </w:tc>
        <w:tc>
          <w:tcPr>
            <w:tcW w:w="1070"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77.45</w:t>
            </w:r>
          </w:p>
        </w:tc>
        <w:tc>
          <w:tcPr>
            <w:tcW w:w="1128"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77.45</w:t>
            </w:r>
          </w:p>
        </w:tc>
        <w:tc>
          <w:tcPr>
            <w:tcW w:w="1082"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77.45</w:t>
            </w:r>
          </w:p>
        </w:tc>
        <w:tc>
          <w:tcPr>
            <w:tcW w:w="1082" w:type="dxa"/>
            <w:shd w:val="clear" w:color="auto" w:fill="auto"/>
            <w:vAlign w:val="center"/>
          </w:tcPr>
          <w:p>
            <w:pPr>
              <w:jc w:val="right"/>
              <w:rPr>
                <w:rFonts w:hint="default" w:ascii="宋体" w:hAnsi="宋体"/>
                <w:b/>
                <w:sz w:val="15"/>
                <w:szCs w:val="15"/>
                <w:highlight w:val="none"/>
              </w:rPr>
            </w:pPr>
          </w:p>
        </w:tc>
        <w:tc>
          <w:tcPr>
            <w:tcW w:w="328" w:type="dxa"/>
            <w:shd w:val="clear" w:color="auto" w:fill="auto"/>
            <w:vAlign w:val="center"/>
          </w:tcPr>
          <w:p>
            <w:pPr>
              <w:jc w:val="right"/>
              <w:rPr>
                <w:rFonts w:hint="default" w:ascii="宋体" w:hAnsi="宋体"/>
                <w:b/>
                <w:sz w:val="18"/>
                <w:szCs w:val="18"/>
                <w:highlight w:val="none"/>
              </w:rPr>
            </w:pPr>
          </w:p>
        </w:tc>
        <w:tc>
          <w:tcPr>
            <w:tcW w:w="1442" w:type="dxa"/>
            <w:gridSpan w:val="2"/>
            <w:shd w:val="clear" w:color="auto" w:fill="auto"/>
            <w:vAlign w:val="center"/>
          </w:tcPr>
          <w:p>
            <w:pPr>
              <w:jc w:val="right"/>
              <w:rPr>
                <w:rFonts w:hint="default" w:ascii="宋体" w:hAnsi="宋体"/>
                <w:b/>
                <w:sz w:val="18"/>
                <w:szCs w:val="18"/>
                <w:highlight w:val="none"/>
              </w:rPr>
            </w:pPr>
          </w:p>
        </w:tc>
        <w:tc>
          <w:tcPr>
            <w:tcW w:w="885" w:type="dxa"/>
            <w:shd w:val="clear" w:color="auto" w:fill="auto"/>
            <w:vAlign w:val="center"/>
          </w:tcPr>
          <w:p>
            <w:pPr>
              <w:jc w:val="right"/>
              <w:rPr>
                <w:rFonts w:hint="default" w:ascii="宋体" w:hAnsi="宋体"/>
                <w:b/>
                <w:sz w:val="18"/>
                <w:szCs w:val="18"/>
                <w:highlight w:val="none"/>
              </w:rPr>
            </w:pPr>
          </w:p>
        </w:tc>
        <w:tc>
          <w:tcPr>
            <w:tcW w:w="918"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eastAsia" w:ascii="宋体" w:hAnsi="宋体"/>
                <w:b/>
                <w:color w:val="000000"/>
                <w:sz w:val="18"/>
                <w:szCs w:val="18"/>
                <w:highlight w:val="none"/>
              </w:rPr>
            </w:pPr>
          </w:p>
        </w:tc>
        <w:tc>
          <w:tcPr>
            <w:tcW w:w="876"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208</w:t>
            </w:r>
          </w:p>
        </w:tc>
        <w:tc>
          <w:tcPr>
            <w:tcW w:w="256"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05</w:t>
            </w:r>
          </w:p>
        </w:tc>
        <w:tc>
          <w:tcPr>
            <w:tcW w:w="24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02</w:t>
            </w:r>
          </w:p>
        </w:tc>
        <w:tc>
          <w:tcPr>
            <w:tcW w:w="2433"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5"/>
                <w:szCs w:val="15"/>
                <w:highlight w:val="none"/>
              </w:rPr>
              <w:t xml:space="preserve">    事业单位离退休</w:t>
            </w:r>
          </w:p>
        </w:tc>
        <w:tc>
          <w:tcPr>
            <w:tcW w:w="1070"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4.34</w:t>
            </w:r>
          </w:p>
        </w:tc>
        <w:tc>
          <w:tcPr>
            <w:tcW w:w="1128"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4.34</w:t>
            </w:r>
          </w:p>
        </w:tc>
        <w:tc>
          <w:tcPr>
            <w:tcW w:w="1082"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4.34</w:t>
            </w:r>
          </w:p>
        </w:tc>
        <w:tc>
          <w:tcPr>
            <w:tcW w:w="1082" w:type="dxa"/>
            <w:shd w:val="clear" w:color="auto" w:fill="auto"/>
            <w:vAlign w:val="center"/>
          </w:tcPr>
          <w:p>
            <w:pPr>
              <w:jc w:val="right"/>
              <w:rPr>
                <w:rFonts w:hint="default" w:ascii="宋体" w:hAnsi="宋体"/>
                <w:sz w:val="15"/>
                <w:szCs w:val="15"/>
                <w:highlight w:val="none"/>
              </w:rPr>
            </w:pPr>
          </w:p>
        </w:tc>
        <w:tc>
          <w:tcPr>
            <w:tcW w:w="328" w:type="dxa"/>
            <w:shd w:val="clear" w:color="auto" w:fill="auto"/>
            <w:vAlign w:val="center"/>
          </w:tcPr>
          <w:p>
            <w:pPr>
              <w:jc w:val="right"/>
              <w:rPr>
                <w:rFonts w:hint="default" w:ascii="宋体" w:hAnsi="宋体"/>
                <w:sz w:val="18"/>
                <w:szCs w:val="18"/>
                <w:highlight w:val="none"/>
              </w:rPr>
            </w:pPr>
          </w:p>
        </w:tc>
        <w:tc>
          <w:tcPr>
            <w:tcW w:w="1442" w:type="dxa"/>
            <w:gridSpan w:val="2"/>
            <w:shd w:val="clear" w:color="auto" w:fill="auto"/>
            <w:vAlign w:val="center"/>
          </w:tcPr>
          <w:p>
            <w:pPr>
              <w:jc w:val="right"/>
              <w:rPr>
                <w:rFonts w:hint="default" w:ascii="宋体" w:hAnsi="宋体"/>
                <w:sz w:val="18"/>
                <w:szCs w:val="18"/>
                <w:highlight w:val="none"/>
              </w:rPr>
            </w:pPr>
          </w:p>
        </w:tc>
        <w:tc>
          <w:tcPr>
            <w:tcW w:w="885" w:type="dxa"/>
            <w:shd w:val="clear" w:color="auto" w:fill="auto"/>
            <w:vAlign w:val="center"/>
          </w:tcPr>
          <w:p>
            <w:pPr>
              <w:jc w:val="right"/>
              <w:rPr>
                <w:rFonts w:hint="default" w:ascii="宋体" w:hAnsi="宋体"/>
                <w:sz w:val="18"/>
                <w:szCs w:val="18"/>
                <w:highlight w:val="none"/>
              </w:rPr>
            </w:pPr>
          </w:p>
        </w:tc>
        <w:tc>
          <w:tcPr>
            <w:tcW w:w="918"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208</w:t>
            </w:r>
          </w:p>
        </w:tc>
        <w:tc>
          <w:tcPr>
            <w:tcW w:w="256"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05</w:t>
            </w:r>
          </w:p>
        </w:tc>
        <w:tc>
          <w:tcPr>
            <w:tcW w:w="24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05</w:t>
            </w:r>
          </w:p>
        </w:tc>
        <w:tc>
          <w:tcPr>
            <w:tcW w:w="2433"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5"/>
                <w:szCs w:val="15"/>
                <w:highlight w:val="none"/>
              </w:rPr>
              <w:t xml:space="preserve">    机关事业单位基本养老保险缴费支出</w:t>
            </w:r>
          </w:p>
        </w:tc>
        <w:tc>
          <w:tcPr>
            <w:tcW w:w="1070"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63.10</w:t>
            </w:r>
          </w:p>
        </w:tc>
        <w:tc>
          <w:tcPr>
            <w:tcW w:w="1128"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63.10</w:t>
            </w:r>
          </w:p>
        </w:tc>
        <w:tc>
          <w:tcPr>
            <w:tcW w:w="1082"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63.10</w:t>
            </w:r>
          </w:p>
        </w:tc>
        <w:tc>
          <w:tcPr>
            <w:tcW w:w="1082" w:type="dxa"/>
            <w:shd w:val="clear" w:color="auto" w:fill="auto"/>
            <w:vAlign w:val="center"/>
          </w:tcPr>
          <w:p>
            <w:pPr>
              <w:jc w:val="right"/>
              <w:rPr>
                <w:rFonts w:hint="default" w:ascii="宋体" w:hAnsi="宋体"/>
                <w:sz w:val="15"/>
                <w:szCs w:val="15"/>
                <w:highlight w:val="none"/>
              </w:rPr>
            </w:pPr>
          </w:p>
        </w:tc>
        <w:tc>
          <w:tcPr>
            <w:tcW w:w="328" w:type="dxa"/>
            <w:shd w:val="clear" w:color="auto" w:fill="auto"/>
            <w:vAlign w:val="center"/>
          </w:tcPr>
          <w:p>
            <w:pPr>
              <w:jc w:val="right"/>
              <w:rPr>
                <w:rFonts w:hint="default" w:ascii="宋体" w:hAnsi="宋体"/>
                <w:sz w:val="18"/>
                <w:szCs w:val="18"/>
                <w:highlight w:val="none"/>
              </w:rPr>
            </w:pPr>
          </w:p>
        </w:tc>
        <w:tc>
          <w:tcPr>
            <w:tcW w:w="1442" w:type="dxa"/>
            <w:gridSpan w:val="2"/>
            <w:shd w:val="clear" w:color="auto" w:fill="auto"/>
            <w:vAlign w:val="center"/>
          </w:tcPr>
          <w:p>
            <w:pPr>
              <w:jc w:val="right"/>
              <w:rPr>
                <w:rFonts w:hint="default" w:ascii="宋体" w:hAnsi="宋体"/>
                <w:sz w:val="18"/>
                <w:szCs w:val="18"/>
                <w:highlight w:val="none"/>
              </w:rPr>
            </w:pPr>
          </w:p>
        </w:tc>
        <w:tc>
          <w:tcPr>
            <w:tcW w:w="885" w:type="dxa"/>
            <w:shd w:val="clear" w:color="auto" w:fill="auto"/>
            <w:vAlign w:val="center"/>
          </w:tcPr>
          <w:p>
            <w:pPr>
              <w:jc w:val="right"/>
              <w:rPr>
                <w:rFonts w:hint="default" w:ascii="宋体" w:hAnsi="宋体"/>
                <w:sz w:val="18"/>
                <w:szCs w:val="18"/>
                <w:highlight w:val="none"/>
              </w:rPr>
            </w:pPr>
          </w:p>
        </w:tc>
        <w:tc>
          <w:tcPr>
            <w:tcW w:w="918"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208</w:t>
            </w:r>
          </w:p>
        </w:tc>
        <w:tc>
          <w:tcPr>
            <w:tcW w:w="256"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05</w:t>
            </w:r>
          </w:p>
        </w:tc>
        <w:tc>
          <w:tcPr>
            <w:tcW w:w="24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06</w:t>
            </w:r>
          </w:p>
        </w:tc>
        <w:tc>
          <w:tcPr>
            <w:tcW w:w="2433"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5"/>
                <w:szCs w:val="15"/>
                <w:highlight w:val="none"/>
              </w:rPr>
              <w:t xml:space="preserve">    机关事业单位职业年金缴费支出</w:t>
            </w:r>
          </w:p>
        </w:tc>
        <w:tc>
          <w:tcPr>
            <w:tcW w:w="1070"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10.00</w:t>
            </w:r>
          </w:p>
        </w:tc>
        <w:tc>
          <w:tcPr>
            <w:tcW w:w="1128"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10.00</w:t>
            </w:r>
          </w:p>
        </w:tc>
        <w:tc>
          <w:tcPr>
            <w:tcW w:w="1082"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10.00</w:t>
            </w:r>
          </w:p>
        </w:tc>
        <w:tc>
          <w:tcPr>
            <w:tcW w:w="1082" w:type="dxa"/>
            <w:shd w:val="clear" w:color="auto" w:fill="auto"/>
            <w:vAlign w:val="center"/>
          </w:tcPr>
          <w:p>
            <w:pPr>
              <w:jc w:val="right"/>
              <w:rPr>
                <w:rFonts w:hint="default" w:ascii="宋体" w:hAnsi="宋体"/>
                <w:sz w:val="15"/>
                <w:szCs w:val="15"/>
                <w:highlight w:val="none"/>
              </w:rPr>
            </w:pPr>
          </w:p>
        </w:tc>
        <w:tc>
          <w:tcPr>
            <w:tcW w:w="328" w:type="dxa"/>
            <w:shd w:val="clear" w:color="auto" w:fill="auto"/>
            <w:vAlign w:val="center"/>
          </w:tcPr>
          <w:p>
            <w:pPr>
              <w:jc w:val="right"/>
              <w:rPr>
                <w:rFonts w:hint="default" w:ascii="宋体" w:hAnsi="宋体"/>
                <w:sz w:val="18"/>
                <w:szCs w:val="18"/>
                <w:highlight w:val="none"/>
              </w:rPr>
            </w:pPr>
          </w:p>
        </w:tc>
        <w:tc>
          <w:tcPr>
            <w:tcW w:w="1442" w:type="dxa"/>
            <w:gridSpan w:val="2"/>
            <w:shd w:val="clear" w:color="auto" w:fill="auto"/>
            <w:vAlign w:val="center"/>
          </w:tcPr>
          <w:p>
            <w:pPr>
              <w:jc w:val="right"/>
              <w:rPr>
                <w:rFonts w:hint="default" w:ascii="宋体" w:hAnsi="宋体"/>
                <w:sz w:val="18"/>
                <w:szCs w:val="18"/>
                <w:highlight w:val="none"/>
              </w:rPr>
            </w:pPr>
          </w:p>
        </w:tc>
        <w:tc>
          <w:tcPr>
            <w:tcW w:w="885" w:type="dxa"/>
            <w:shd w:val="clear" w:color="auto" w:fill="auto"/>
            <w:vAlign w:val="center"/>
          </w:tcPr>
          <w:p>
            <w:pPr>
              <w:jc w:val="right"/>
              <w:rPr>
                <w:rFonts w:hint="default" w:ascii="宋体" w:hAnsi="宋体"/>
                <w:sz w:val="18"/>
                <w:szCs w:val="18"/>
                <w:highlight w:val="none"/>
              </w:rPr>
            </w:pPr>
          </w:p>
        </w:tc>
        <w:tc>
          <w:tcPr>
            <w:tcW w:w="918"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210</w:t>
            </w:r>
          </w:p>
        </w:tc>
        <w:tc>
          <w:tcPr>
            <w:tcW w:w="256" w:type="dxa"/>
            <w:shd w:val="clear" w:color="auto" w:fill="auto"/>
            <w:vAlign w:val="center"/>
          </w:tcPr>
          <w:p>
            <w:pPr>
              <w:jc w:val="center"/>
              <w:rPr>
                <w:rFonts w:hint="default" w:ascii="宋体" w:hAnsi="宋体"/>
                <w:b/>
                <w:sz w:val="18"/>
                <w:szCs w:val="18"/>
                <w:highlight w:val="none"/>
              </w:rPr>
            </w:pPr>
          </w:p>
        </w:tc>
        <w:tc>
          <w:tcPr>
            <w:tcW w:w="247" w:type="dxa"/>
            <w:shd w:val="clear" w:color="auto" w:fill="auto"/>
            <w:vAlign w:val="center"/>
          </w:tcPr>
          <w:p>
            <w:pPr>
              <w:jc w:val="center"/>
              <w:rPr>
                <w:rFonts w:hint="default" w:ascii="宋体" w:hAnsi="宋体"/>
                <w:b/>
                <w:sz w:val="18"/>
                <w:szCs w:val="18"/>
                <w:highlight w:val="none"/>
              </w:rPr>
            </w:pPr>
          </w:p>
        </w:tc>
        <w:tc>
          <w:tcPr>
            <w:tcW w:w="2433"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5"/>
                <w:szCs w:val="15"/>
                <w:highlight w:val="none"/>
              </w:rPr>
              <w:t>卫生健康支出</w:t>
            </w:r>
          </w:p>
        </w:tc>
        <w:tc>
          <w:tcPr>
            <w:tcW w:w="1070"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1,674.08</w:t>
            </w:r>
          </w:p>
        </w:tc>
        <w:tc>
          <w:tcPr>
            <w:tcW w:w="1128"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482.62</w:t>
            </w:r>
          </w:p>
        </w:tc>
        <w:tc>
          <w:tcPr>
            <w:tcW w:w="1082"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482.62</w:t>
            </w:r>
          </w:p>
        </w:tc>
        <w:tc>
          <w:tcPr>
            <w:tcW w:w="1082" w:type="dxa"/>
            <w:shd w:val="clear" w:color="auto" w:fill="auto"/>
            <w:vAlign w:val="center"/>
          </w:tcPr>
          <w:p>
            <w:pPr>
              <w:jc w:val="right"/>
              <w:rPr>
                <w:rFonts w:hint="default" w:ascii="宋体" w:hAnsi="宋体"/>
                <w:b/>
                <w:sz w:val="15"/>
                <w:szCs w:val="15"/>
                <w:highlight w:val="none"/>
              </w:rPr>
            </w:pPr>
          </w:p>
        </w:tc>
        <w:tc>
          <w:tcPr>
            <w:tcW w:w="328" w:type="dxa"/>
            <w:shd w:val="clear" w:color="auto" w:fill="auto"/>
            <w:vAlign w:val="center"/>
          </w:tcPr>
          <w:p>
            <w:pPr>
              <w:jc w:val="right"/>
              <w:rPr>
                <w:rFonts w:hint="default" w:ascii="宋体" w:hAnsi="宋体"/>
                <w:b/>
                <w:sz w:val="18"/>
                <w:szCs w:val="18"/>
                <w:highlight w:val="none"/>
              </w:rPr>
            </w:pPr>
          </w:p>
        </w:tc>
        <w:tc>
          <w:tcPr>
            <w:tcW w:w="1442" w:type="dxa"/>
            <w:gridSpan w:val="2"/>
            <w:shd w:val="clear" w:color="auto" w:fill="auto"/>
            <w:vAlign w:val="center"/>
          </w:tcPr>
          <w:p>
            <w:pPr>
              <w:jc w:val="right"/>
              <w:rPr>
                <w:rFonts w:hint="default" w:ascii="宋体" w:hAnsi="宋体"/>
                <w:b/>
                <w:sz w:val="18"/>
                <w:szCs w:val="18"/>
                <w:highlight w:val="none"/>
              </w:rPr>
            </w:pPr>
          </w:p>
        </w:tc>
        <w:tc>
          <w:tcPr>
            <w:tcW w:w="885" w:type="dxa"/>
            <w:shd w:val="clear" w:color="auto" w:fill="auto"/>
            <w:vAlign w:val="center"/>
          </w:tcPr>
          <w:p>
            <w:pPr>
              <w:jc w:val="right"/>
              <w:rPr>
                <w:rFonts w:hint="default" w:ascii="宋体" w:hAnsi="宋体"/>
                <w:b/>
                <w:sz w:val="18"/>
                <w:szCs w:val="18"/>
                <w:highlight w:val="none"/>
              </w:rPr>
            </w:pPr>
          </w:p>
        </w:tc>
        <w:tc>
          <w:tcPr>
            <w:tcW w:w="918"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1,100.00</w:t>
            </w:r>
          </w:p>
        </w:tc>
        <w:tc>
          <w:tcPr>
            <w:tcW w:w="876" w:type="dxa"/>
            <w:shd w:val="clear" w:color="auto" w:fill="auto"/>
            <w:vAlign w:val="center"/>
          </w:tcPr>
          <w:p>
            <w:pPr>
              <w:jc w:val="right"/>
              <w:rPr>
                <w:rFonts w:hint="eastAsia" w:ascii="宋体" w:hAnsi="宋体"/>
                <w:b/>
                <w:color w:val="000000"/>
                <w:sz w:val="18"/>
                <w:szCs w:val="18"/>
                <w:highlight w:val="none"/>
              </w:rPr>
            </w:pPr>
            <w:r>
              <w:rPr>
                <w:rFonts w:hint="eastAsia" w:ascii="宋体" w:hAnsi="宋体"/>
                <w:b/>
                <w:color w:val="000000"/>
                <w:sz w:val="15"/>
                <w:szCs w:val="15"/>
                <w:highlight w:val="none"/>
              </w:rPr>
              <w:t>91.46</w:t>
            </w:r>
          </w:p>
        </w:tc>
        <w:tc>
          <w:tcPr>
            <w:tcW w:w="876"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210</w:t>
            </w:r>
          </w:p>
        </w:tc>
        <w:tc>
          <w:tcPr>
            <w:tcW w:w="256"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01</w:t>
            </w:r>
          </w:p>
        </w:tc>
        <w:tc>
          <w:tcPr>
            <w:tcW w:w="247" w:type="dxa"/>
            <w:shd w:val="clear" w:color="auto" w:fill="auto"/>
            <w:vAlign w:val="center"/>
          </w:tcPr>
          <w:p>
            <w:pPr>
              <w:jc w:val="center"/>
              <w:rPr>
                <w:rFonts w:hint="default" w:ascii="宋体" w:hAnsi="宋体"/>
                <w:b/>
                <w:sz w:val="18"/>
                <w:szCs w:val="18"/>
                <w:highlight w:val="none"/>
              </w:rPr>
            </w:pPr>
          </w:p>
        </w:tc>
        <w:tc>
          <w:tcPr>
            <w:tcW w:w="2433"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5"/>
                <w:szCs w:val="15"/>
                <w:highlight w:val="none"/>
              </w:rPr>
              <w:t xml:space="preserve">  卫生健康管理事务</w:t>
            </w:r>
          </w:p>
        </w:tc>
        <w:tc>
          <w:tcPr>
            <w:tcW w:w="1070"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2.84</w:t>
            </w:r>
          </w:p>
        </w:tc>
        <w:tc>
          <w:tcPr>
            <w:tcW w:w="1128" w:type="dxa"/>
            <w:shd w:val="clear" w:color="auto" w:fill="auto"/>
            <w:vAlign w:val="center"/>
          </w:tcPr>
          <w:p>
            <w:pPr>
              <w:jc w:val="right"/>
              <w:rPr>
                <w:rFonts w:hint="default" w:ascii="宋体" w:hAnsi="宋体"/>
                <w:b/>
                <w:sz w:val="18"/>
                <w:szCs w:val="18"/>
                <w:highlight w:val="none"/>
              </w:rPr>
            </w:pPr>
          </w:p>
        </w:tc>
        <w:tc>
          <w:tcPr>
            <w:tcW w:w="1082" w:type="dxa"/>
            <w:shd w:val="clear" w:color="auto" w:fill="auto"/>
            <w:vAlign w:val="center"/>
          </w:tcPr>
          <w:p>
            <w:pPr>
              <w:jc w:val="right"/>
              <w:rPr>
                <w:rFonts w:hint="default" w:ascii="宋体" w:hAnsi="宋体"/>
                <w:b/>
                <w:sz w:val="18"/>
                <w:szCs w:val="18"/>
                <w:highlight w:val="none"/>
              </w:rPr>
            </w:pPr>
          </w:p>
        </w:tc>
        <w:tc>
          <w:tcPr>
            <w:tcW w:w="1082" w:type="dxa"/>
            <w:shd w:val="clear" w:color="auto" w:fill="auto"/>
            <w:vAlign w:val="center"/>
          </w:tcPr>
          <w:p>
            <w:pPr>
              <w:jc w:val="right"/>
              <w:rPr>
                <w:rFonts w:hint="default" w:ascii="宋体" w:hAnsi="宋体"/>
                <w:b/>
                <w:sz w:val="15"/>
                <w:szCs w:val="15"/>
                <w:highlight w:val="none"/>
              </w:rPr>
            </w:pPr>
          </w:p>
        </w:tc>
        <w:tc>
          <w:tcPr>
            <w:tcW w:w="328" w:type="dxa"/>
            <w:shd w:val="clear" w:color="auto" w:fill="auto"/>
            <w:vAlign w:val="center"/>
          </w:tcPr>
          <w:p>
            <w:pPr>
              <w:jc w:val="right"/>
              <w:rPr>
                <w:rFonts w:hint="default" w:ascii="宋体" w:hAnsi="宋体"/>
                <w:b/>
                <w:sz w:val="18"/>
                <w:szCs w:val="18"/>
                <w:highlight w:val="none"/>
              </w:rPr>
            </w:pPr>
          </w:p>
        </w:tc>
        <w:tc>
          <w:tcPr>
            <w:tcW w:w="1442" w:type="dxa"/>
            <w:gridSpan w:val="2"/>
            <w:shd w:val="clear" w:color="auto" w:fill="auto"/>
            <w:vAlign w:val="center"/>
          </w:tcPr>
          <w:p>
            <w:pPr>
              <w:jc w:val="right"/>
              <w:rPr>
                <w:rFonts w:hint="default" w:ascii="宋体" w:hAnsi="宋体"/>
                <w:b/>
                <w:sz w:val="18"/>
                <w:szCs w:val="18"/>
                <w:highlight w:val="none"/>
              </w:rPr>
            </w:pPr>
          </w:p>
        </w:tc>
        <w:tc>
          <w:tcPr>
            <w:tcW w:w="885" w:type="dxa"/>
            <w:shd w:val="clear" w:color="auto" w:fill="auto"/>
            <w:vAlign w:val="center"/>
          </w:tcPr>
          <w:p>
            <w:pPr>
              <w:jc w:val="right"/>
              <w:rPr>
                <w:rFonts w:hint="default" w:ascii="宋体" w:hAnsi="宋体"/>
                <w:b/>
                <w:sz w:val="18"/>
                <w:szCs w:val="18"/>
                <w:highlight w:val="none"/>
              </w:rPr>
            </w:pPr>
          </w:p>
        </w:tc>
        <w:tc>
          <w:tcPr>
            <w:tcW w:w="918"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eastAsia" w:ascii="宋体" w:hAnsi="宋体"/>
                <w:b/>
                <w:color w:val="000000"/>
                <w:sz w:val="18"/>
                <w:szCs w:val="18"/>
                <w:highlight w:val="none"/>
              </w:rPr>
            </w:pPr>
            <w:r>
              <w:rPr>
                <w:rFonts w:hint="eastAsia" w:ascii="宋体" w:hAnsi="宋体"/>
                <w:b/>
                <w:color w:val="000000"/>
                <w:sz w:val="15"/>
                <w:szCs w:val="15"/>
                <w:highlight w:val="none"/>
              </w:rPr>
              <w:t>2.84</w:t>
            </w:r>
          </w:p>
        </w:tc>
        <w:tc>
          <w:tcPr>
            <w:tcW w:w="876"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210</w:t>
            </w:r>
          </w:p>
        </w:tc>
        <w:tc>
          <w:tcPr>
            <w:tcW w:w="256"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01</w:t>
            </w:r>
          </w:p>
        </w:tc>
        <w:tc>
          <w:tcPr>
            <w:tcW w:w="24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99</w:t>
            </w:r>
          </w:p>
        </w:tc>
        <w:tc>
          <w:tcPr>
            <w:tcW w:w="2433"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5"/>
                <w:szCs w:val="15"/>
                <w:highlight w:val="none"/>
              </w:rPr>
              <w:t xml:space="preserve">    其他卫生健康管理事务支出</w:t>
            </w:r>
          </w:p>
        </w:tc>
        <w:tc>
          <w:tcPr>
            <w:tcW w:w="1070"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2.84</w:t>
            </w:r>
          </w:p>
        </w:tc>
        <w:tc>
          <w:tcPr>
            <w:tcW w:w="1128" w:type="dxa"/>
            <w:shd w:val="clear" w:color="auto" w:fill="auto"/>
            <w:vAlign w:val="center"/>
          </w:tcPr>
          <w:p>
            <w:pPr>
              <w:jc w:val="right"/>
              <w:rPr>
                <w:rFonts w:hint="default" w:ascii="宋体" w:hAnsi="宋体"/>
                <w:sz w:val="18"/>
                <w:szCs w:val="18"/>
                <w:highlight w:val="none"/>
              </w:rPr>
            </w:pPr>
          </w:p>
        </w:tc>
        <w:tc>
          <w:tcPr>
            <w:tcW w:w="1082" w:type="dxa"/>
            <w:shd w:val="clear" w:color="auto" w:fill="auto"/>
            <w:vAlign w:val="center"/>
          </w:tcPr>
          <w:p>
            <w:pPr>
              <w:jc w:val="right"/>
              <w:rPr>
                <w:rFonts w:hint="default" w:ascii="宋体" w:hAnsi="宋体"/>
                <w:sz w:val="18"/>
                <w:szCs w:val="18"/>
                <w:highlight w:val="none"/>
              </w:rPr>
            </w:pPr>
          </w:p>
        </w:tc>
        <w:tc>
          <w:tcPr>
            <w:tcW w:w="1082" w:type="dxa"/>
            <w:shd w:val="clear" w:color="auto" w:fill="auto"/>
            <w:vAlign w:val="center"/>
          </w:tcPr>
          <w:p>
            <w:pPr>
              <w:jc w:val="right"/>
              <w:rPr>
                <w:rFonts w:hint="default" w:ascii="宋体" w:hAnsi="宋体"/>
                <w:sz w:val="15"/>
                <w:szCs w:val="15"/>
                <w:highlight w:val="none"/>
              </w:rPr>
            </w:pPr>
          </w:p>
        </w:tc>
        <w:tc>
          <w:tcPr>
            <w:tcW w:w="328" w:type="dxa"/>
            <w:shd w:val="clear" w:color="auto" w:fill="auto"/>
            <w:vAlign w:val="center"/>
          </w:tcPr>
          <w:p>
            <w:pPr>
              <w:jc w:val="right"/>
              <w:rPr>
                <w:rFonts w:hint="default" w:ascii="宋体" w:hAnsi="宋体"/>
                <w:sz w:val="18"/>
                <w:szCs w:val="18"/>
                <w:highlight w:val="none"/>
              </w:rPr>
            </w:pPr>
          </w:p>
        </w:tc>
        <w:tc>
          <w:tcPr>
            <w:tcW w:w="1442" w:type="dxa"/>
            <w:gridSpan w:val="2"/>
            <w:shd w:val="clear" w:color="auto" w:fill="auto"/>
            <w:vAlign w:val="center"/>
          </w:tcPr>
          <w:p>
            <w:pPr>
              <w:jc w:val="right"/>
              <w:rPr>
                <w:rFonts w:hint="default" w:ascii="宋体" w:hAnsi="宋体"/>
                <w:sz w:val="18"/>
                <w:szCs w:val="18"/>
                <w:highlight w:val="none"/>
              </w:rPr>
            </w:pPr>
          </w:p>
        </w:tc>
        <w:tc>
          <w:tcPr>
            <w:tcW w:w="885" w:type="dxa"/>
            <w:shd w:val="clear" w:color="auto" w:fill="auto"/>
            <w:vAlign w:val="center"/>
          </w:tcPr>
          <w:p>
            <w:pPr>
              <w:jc w:val="right"/>
              <w:rPr>
                <w:rFonts w:hint="default" w:ascii="宋体" w:hAnsi="宋体"/>
                <w:sz w:val="18"/>
                <w:szCs w:val="18"/>
                <w:highlight w:val="none"/>
              </w:rPr>
            </w:pPr>
          </w:p>
        </w:tc>
        <w:tc>
          <w:tcPr>
            <w:tcW w:w="918"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r>
              <w:rPr>
                <w:rFonts w:hint="eastAsia" w:ascii="宋体" w:hAnsi="宋体"/>
                <w:color w:val="000000"/>
                <w:sz w:val="15"/>
                <w:szCs w:val="15"/>
                <w:highlight w:val="none"/>
              </w:rPr>
              <w:t>2.84</w:t>
            </w:r>
          </w:p>
        </w:tc>
        <w:tc>
          <w:tcPr>
            <w:tcW w:w="876"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210</w:t>
            </w:r>
          </w:p>
        </w:tc>
        <w:tc>
          <w:tcPr>
            <w:tcW w:w="256"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03</w:t>
            </w:r>
          </w:p>
        </w:tc>
        <w:tc>
          <w:tcPr>
            <w:tcW w:w="247" w:type="dxa"/>
            <w:shd w:val="clear" w:color="auto" w:fill="auto"/>
            <w:vAlign w:val="center"/>
          </w:tcPr>
          <w:p>
            <w:pPr>
              <w:jc w:val="center"/>
              <w:rPr>
                <w:rFonts w:hint="default" w:ascii="宋体" w:hAnsi="宋体"/>
                <w:b/>
                <w:sz w:val="18"/>
                <w:szCs w:val="18"/>
                <w:highlight w:val="none"/>
              </w:rPr>
            </w:pPr>
          </w:p>
        </w:tc>
        <w:tc>
          <w:tcPr>
            <w:tcW w:w="2433"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5"/>
                <w:szCs w:val="15"/>
                <w:highlight w:val="none"/>
              </w:rPr>
              <w:t xml:space="preserve">  基层医疗卫生机构</w:t>
            </w:r>
          </w:p>
        </w:tc>
        <w:tc>
          <w:tcPr>
            <w:tcW w:w="1070"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1,575.97</w:t>
            </w:r>
          </w:p>
        </w:tc>
        <w:tc>
          <w:tcPr>
            <w:tcW w:w="1128"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456.99</w:t>
            </w:r>
          </w:p>
        </w:tc>
        <w:tc>
          <w:tcPr>
            <w:tcW w:w="1082"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456.99</w:t>
            </w:r>
          </w:p>
        </w:tc>
        <w:tc>
          <w:tcPr>
            <w:tcW w:w="1082" w:type="dxa"/>
            <w:shd w:val="clear" w:color="auto" w:fill="auto"/>
            <w:vAlign w:val="center"/>
          </w:tcPr>
          <w:p>
            <w:pPr>
              <w:jc w:val="right"/>
              <w:rPr>
                <w:rFonts w:hint="default" w:ascii="宋体" w:hAnsi="宋体"/>
                <w:b/>
                <w:sz w:val="15"/>
                <w:szCs w:val="15"/>
                <w:highlight w:val="none"/>
              </w:rPr>
            </w:pPr>
          </w:p>
        </w:tc>
        <w:tc>
          <w:tcPr>
            <w:tcW w:w="328" w:type="dxa"/>
            <w:shd w:val="clear" w:color="auto" w:fill="auto"/>
            <w:vAlign w:val="center"/>
          </w:tcPr>
          <w:p>
            <w:pPr>
              <w:jc w:val="right"/>
              <w:rPr>
                <w:rFonts w:hint="default" w:ascii="宋体" w:hAnsi="宋体"/>
                <w:b/>
                <w:sz w:val="18"/>
                <w:szCs w:val="18"/>
                <w:highlight w:val="none"/>
              </w:rPr>
            </w:pPr>
          </w:p>
        </w:tc>
        <w:tc>
          <w:tcPr>
            <w:tcW w:w="1442" w:type="dxa"/>
            <w:gridSpan w:val="2"/>
            <w:shd w:val="clear" w:color="auto" w:fill="auto"/>
            <w:vAlign w:val="center"/>
          </w:tcPr>
          <w:p>
            <w:pPr>
              <w:jc w:val="right"/>
              <w:rPr>
                <w:rFonts w:hint="default" w:ascii="宋体" w:hAnsi="宋体"/>
                <w:b/>
                <w:sz w:val="18"/>
                <w:szCs w:val="18"/>
                <w:highlight w:val="none"/>
              </w:rPr>
            </w:pPr>
          </w:p>
        </w:tc>
        <w:tc>
          <w:tcPr>
            <w:tcW w:w="885" w:type="dxa"/>
            <w:shd w:val="clear" w:color="auto" w:fill="auto"/>
            <w:vAlign w:val="center"/>
          </w:tcPr>
          <w:p>
            <w:pPr>
              <w:jc w:val="right"/>
              <w:rPr>
                <w:rFonts w:hint="default" w:ascii="宋体" w:hAnsi="宋体"/>
                <w:b/>
                <w:sz w:val="18"/>
                <w:szCs w:val="18"/>
                <w:highlight w:val="none"/>
              </w:rPr>
            </w:pPr>
          </w:p>
        </w:tc>
        <w:tc>
          <w:tcPr>
            <w:tcW w:w="918"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1,100.00</w:t>
            </w:r>
          </w:p>
        </w:tc>
        <w:tc>
          <w:tcPr>
            <w:tcW w:w="876" w:type="dxa"/>
            <w:shd w:val="clear" w:color="auto" w:fill="auto"/>
            <w:vAlign w:val="center"/>
          </w:tcPr>
          <w:p>
            <w:pPr>
              <w:jc w:val="right"/>
              <w:rPr>
                <w:rFonts w:hint="eastAsia" w:ascii="宋体" w:hAnsi="宋体"/>
                <w:b/>
                <w:color w:val="000000"/>
                <w:sz w:val="18"/>
                <w:szCs w:val="18"/>
                <w:highlight w:val="none"/>
              </w:rPr>
            </w:pPr>
            <w:r>
              <w:rPr>
                <w:rFonts w:hint="eastAsia" w:ascii="宋体" w:hAnsi="宋体"/>
                <w:b/>
                <w:color w:val="000000"/>
                <w:sz w:val="15"/>
                <w:szCs w:val="15"/>
                <w:highlight w:val="none"/>
              </w:rPr>
              <w:t>18.98</w:t>
            </w:r>
          </w:p>
        </w:tc>
        <w:tc>
          <w:tcPr>
            <w:tcW w:w="876"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210</w:t>
            </w:r>
          </w:p>
        </w:tc>
        <w:tc>
          <w:tcPr>
            <w:tcW w:w="256"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03</w:t>
            </w:r>
          </w:p>
        </w:tc>
        <w:tc>
          <w:tcPr>
            <w:tcW w:w="24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02</w:t>
            </w:r>
          </w:p>
        </w:tc>
        <w:tc>
          <w:tcPr>
            <w:tcW w:w="2433"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5"/>
                <w:szCs w:val="15"/>
                <w:highlight w:val="none"/>
              </w:rPr>
              <w:t xml:space="preserve">    乡镇卫生院</w:t>
            </w:r>
          </w:p>
        </w:tc>
        <w:tc>
          <w:tcPr>
            <w:tcW w:w="1070"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1,563.45</w:t>
            </w:r>
          </w:p>
        </w:tc>
        <w:tc>
          <w:tcPr>
            <w:tcW w:w="1128"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456.99</w:t>
            </w:r>
          </w:p>
        </w:tc>
        <w:tc>
          <w:tcPr>
            <w:tcW w:w="1082"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456.99</w:t>
            </w:r>
          </w:p>
        </w:tc>
        <w:tc>
          <w:tcPr>
            <w:tcW w:w="1082" w:type="dxa"/>
            <w:shd w:val="clear" w:color="auto" w:fill="auto"/>
            <w:vAlign w:val="center"/>
          </w:tcPr>
          <w:p>
            <w:pPr>
              <w:jc w:val="right"/>
              <w:rPr>
                <w:rFonts w:hint="default" w:ascii="宋体" w:hAnsi="宋体"/>
                <w:sz w:val="15"/>
                <w:szCs w:val="15"/>
                <w:highlight w:val="none"/>
              </w:rPr>
            </w:pPr>
          </w:p>
        </w:tc>
        <w:tc>
          <w:tcPr>
            <w:tcW w:w="328" w:type="dxa"/>
            <w:shd w:val="clear" w:color="auto" w:fill="auto"/>
            <w:vAlign w:val="center"/>
          </w:tcPr>
          <w:p>
            <w:pPr>
              <w:jc w:val="right"/>
              <w:rPr>
                <w:rFonts w:hint="default" w:ascii="宋体" w:hAnsi="宋体"/>
                <w:sz w:val="18"/>
                <w:szCs w:val="18"/>
                <w:highlight w:val="none"/>
              </w:rPr>
            </w:pPr>
          </w:p>
        </w:tc>
        <w:tc>
          <w:tcPr>
            <w:tcW w:w="1442" w:type="dxa"/>
            <w:gridSpan w:val="2"/>
            <w:shd w:val="clear" w:color="auto" w:fill="auto"/>
            <w:vAlign w:val="center"/>
          </w:tcPr>
          <w:p>
            <w:pPr>
              <w:jc w:val="right"/>
              <w:rPr>
                <w:rFonts w:hint="default" w:ascii="宋体" w:hAnsi="宋体"/>
                <w:sz w:val="18"/>
                <w:szCs w:val="18"/>
                <w:highlight w:val="none"/>
              </w:rPr>
            </w:pPr>
          </w:p>
        </w:tc>
        <w:tc>
          <w:tcPr>
            <w:tcW w:w="885" w:type="dxa"/>
            <w:shd w:val="clear" w:color="auto" w:fill="auto"/>
            <w:vAlign w:val="center"/>
          </w:tcPr>
          <w:p>
            <w:pPr>
              <w:jc w:val="right"/>
              <w:rPr>
                <w:rFonts w:hint="default" w:ascii="宋体" w:hAnsi="宋体"/>
                <w:sz w:val="18"/>
                <w:szCs w:val="18"/>
                <w:highlight w:val="none"/>
              </w:rPr>
            </w:pPr>
          </w:p>
        </w:tc>
        <w:tc>
          <w:tcPr>
            <w:tcW w:w="918"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1,100.00</w:t>
            </w:r>
          </w:p>
        </w:tc>
        <w:tc>
          <w:tcPr>
            <w:tcW w:w="876" w:type="dxa"/>
            <w:shd w:val="clear" w:color="auto" w:fill="auto"/>
            <w:vAlign w:val="center"/>
          </w:tcPr>
          <w:p>
            <w:pPr>
              <w:jc w:val="right"/>
              <w:rPr>
                <w:rFonts w:hint="eastAsia" w:ascii="宋体" w:hAnsi="宋体"/>
                <w:color w:val="000000"/>
                <w:sz w:val="18"/>
                <w:szCs w:val="18"/>
                <w:highlight w:val="none"/>
              </w:rPr>
            </w:pPr>
            <w:r>
              <w:rPr>
                <w:rFonts w:hint="eastAsia" w:ascii="宋体" w:hAnsi="宋体"/>
                <w:color w:val="000000"/>
                <w:sz w:val="15"/>
                <w:szCs w:val="15"/>
                <w:highlight w:val="none"/>
              </w:rPr>
              <w:t>6.47</w:t>
            </w:r>
          </w:p>
        </w:tc>
        <w:tc>
          <w:tcPr>
            <w:tcW w:w="876"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210</w:t>
            </w:r>
          </w:p>
        </w:tc>
        <w:tc>
          <w:tcPr>
            <w:tcW w:w="256"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03</w:t>
            </w:r>
          </w:p>
        </w:tc>
        <w:tc>
          <w:tcPr>
            <w:tcW w:w="24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99</w:t>
            </w:r>
          </w:p>
        </w:tc>
        <w:tc>
          <w:tcPr>
            <w:tcW w:w="2433"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5"/>
                <w:szCs w:val="15"/>
                <w:highlight w:val="none"/>
              </w:rPr>
              <w:t xml:space="preserve">    其他基层医疗卫生机构支出</w:t>
            </w:r>
          </w:p>
        </w:tc>
        <w:tc>
          <w:tcPr>
            <w:tcW w:w="1070"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12.52</w:t>
            </w:r>
          </w:p>
        </w:tc>
        <w:tc>
          <w:tcPr>
            <w:tcW w:w="1128" w:type="dxa"/>
            <w:shd w:val="clear" w:color="auto" w:fill="auto"/>
            <w:vAlign w:val="center"/>
          </w:tcPr>
          <w:p>
            <w:pPr>
              <w:jc w:val="right"/>
              <w:rPr>
                <w:rFonts w:hint="default" w:ascii="宋体" w:hAnsi="宋体"/>
                <w:sz w:val="18"/>
                <w:szCs w:val="18"/>
                <w:highlight w:val="none"/>
              </w:rPr>
            </w:pPr>
          </w:p>
        </w:tc>
        <w:tc>
          <w:tcPr>
            <w:tcW w:w="1082" w:type="dxa"/>
            <w:shd w:val="clear" w:color="auto" w:fill="auto"/>
            <w:vAlign w:val="center"/>
          </w:tcPr>
          <w:p>
            <w:pPr>
              <w:jc w:val="right"/>
              <w:rPr>
                <w:rFonts w:hint="default" w:ascii="宋体" w:hAnsi="宋体"/>
                <w:sz w:val="18"/>
                <w:szCs w:val="18"/>
                <w:highlight w:val="none"/>
              </w:rPr>
            </w:pPr>
          </w:p>
        </w:tc>
        <w:tc>
          <w:tcPr>
            <w:tcW w:w="1082" w:type="dxa"/>
            <w:shd w:val="clear" w:color="auto" w:fill="auto"/>
            <w:vAlign w:val="center"/>
          </w:tcPr>
          <w:p>
            <w:pPr>
              <w:jc w:val="right"/>
              <w:rPr>
                <w:rFonts w:hint="default" w:ascii="宋体" w:hAnsi="宋体"/>
                <w:sz w:val="15"/>
                <w:szCs w:val="15"/>
                <w:highlight w:val="none"/>
              </w:rPr>
            </w:pPr>
          </w:p>
        </w:tc>
        <w:tc>
          <w:tcPr>
            <w:tcW w:w="328" w:type="dxa"/>
            <w:shd w:val="clear" w:color="auto" w:fill="auto"/>
            <w:vAlign w:val="center"/>
          </w:tcPr>
          <w:p>
            <w:pPr>
              <w:jc w:val="right"/>
              <w:rPr>
                <w:rFonts w:hint="default" w:ascii="宋体" w:hAnsi="宋体"/>
                <w:sz w:val="18"/>
                <w:szCs w:val="18"/>
                <w:highlight w:val="none"/>
              </w:rPr>
            </w:pPr>
          </w:p>
        </w:tc>
        <w:tc>
          <w:tcPr>
            <w:tcW w:w="1442" w:type="dxa"/>
            <w:gridSpan w:val="2"/>
            <w:shd w:val="clear" w:color="auto" w:fill="auto"/>
            <w:vAlign w:val="center"/>
          </w:tcPr>
          <w:p>
            <w:pPr>
              <w:jc w:val="right"/>
              <w:rPr>
                <w:rFonts w:hint="default" w:ascii="宋体" w:hAnsi="宋体"/>
                <w:sz w:val="18"/>
                <w:szCs w:val="18"/>
                <w:highlight w:val="none"/>
              </w:rPr>
            </w:pPr>
          </w:p>
        </w:tc>
        <w:tc>
          <w:tcPr>
            <w:tcW w:w="885" w:type="dxa"/>
            <w:shd w:val="clear" w:color="auto" w:fill="auto"/>
            <w:vAlign w:val="center"/>
          </w:tcPr>
          <w:p>
            <w:pPr>
              <w:jc w:val="right"/>
              <w:rPr>
                <w:rFonts w:hint="default" w:ascii="宋体" w:hAnsi="宋体"/>
                <w:sz w:val="18"/>
                <w:szCs w:val="18"/>
                <w:highlight w:val="none"/>
              </w:rPr>
            </w:pPr>
          </w:p>
        </w:tc>
        <w:tc>
          <w:tcPr>
            <w:tcW w:w="918"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r>
              <w:rPr>
                <w:rFonts w:hint="eastAsia" w:ascii="宋体" w:hAnsi="宋体"/>
                <w:color w:val="000000"/>
                <w:sz w:val="15"/>
                <w:szCs w:val="15"/>
                <w:highlight w:val="none"/>
              </w:rPr>
              <w:t>12.52</w:t>
            </w:r>
          </w:p>
        </w:tc>
        <w:tc>
          <w:tcPr>
            <w:tcW w:w="876"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210</w:t>
            </w:r>
          </w:p>
        </w:tc>
        <w:tc>
          <w:tcPr>
            <w:tcW w:w="256"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04</w:t>
            </w:r>
          </w:p>
        </w:tc>
        <w:tc>
          <w:tcPr>
            <w:tcW w:w="247" w:type="dxa"/>
            <w:shd w:val="clear" w:color="auto" w:fill="auto"/>
            <w:vAlign w:val="center"/>
          </w:tcPr>
          <w:p>
            <w:pPr>
              <w:jc w:val="center"/>
              <w:rPr>
                <w:rFonts w:hint="default" w:ascii="宋体" w:hAnsi="宋体"/>
                <w:b/>
                <w:sz w:val="18"/>
                <w:szCs w:val="18"/>
                <w:highlight w:val="none"/>
              </w:rPr>
            </w:pPr>
          </w:p>
        </w:tc>
        <w:tc>
          <w:tcPr>
            <w:tcW w:w="2433"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5"/>
                <w:szCs w:val="15"/>
                <w:highlight w:val="none"/>
              </w:rPr>
              <w:t xml:space="preserve">  公共卫生</w:t>
            </w:r>
          </w:p>
        </w:tc>
        <w:tc>
          <w:tcPr>
            <w:tcW w:w="1070"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69.63</w:t>
            </w:r>
          </w:p>
        </w:tc>
        <w:tc>
          <w:tcPr>
            <w:tcW w:w="1128" w:type="dxa"/>
            <w:shd w:val="clear" w:color="auto" w:fill="auto"/>
            <w:vAlign w:val="center"/>
          </w:tcPr>
          <w:p>
            <w:pPr>
              <w:jc w:val="right"/>
              <w:rPr>
                <w:rFonts w:hint="default" w:ascii="宋体" w:hAnsi="宋体"/>
                <w:b/>
                <w:sz w:val="18"/>
                <w:szCs w:val="18"/>
                <w:highlight w:val="none"/>
              </w:rPr>
            </w:pPr>
          </w:p>
        </w:tc>
        <w:tc>
          <w:tcPr>
            <w:tcW w:w="1082" w:type="dxa"/>
            <w:shd w:val="clear" w:color="auto" w:fill="auto"/>
            <w:vAlign w:val="center"/>
          </w:tcPr>
          <w:p>
            <w:pPr>
              <w:jc w:val="right"/>
              <w:rPr>
                <w:rFonts w:hint="default" w:ascii="宋体" w:hAnsi="宋体"/>
                <w:b/>
                <w:sz w:val="18"/>
                <w:szCs w:val="18"/>
                <w:highlight w:val="none"/>
              </w:rPr>
            </w:pPr>
          </w:p>
        </w:tc>
        <w:tc>
          <w:tcPr>
            <w:tcW w:w="1082" w:type="dxa"/>
            <w:shd w:val="clear" w:color="auto" w:fill="auto"/>
            <w:vAlign w:val="center"/>
          </w:tcPr>
          <w:p>
            <w:pPr>
              <w:jc w:val="right"/>
              <w:rPr>
                <w:rFonts w:hint="default" w:ascii="宋体" w:hAnsi="宋体"/>
                <w:b/>
                <w:sz w:val="15"/>
                <w:szCs w:val="15"/>
                <w:highlight w:val="none"/>
              </w:rPr>
            </w:pPr>
          </w:p>
        </w:tc>
        <w:tc>
          <w:tcPr>
            <w:tcW w:w="328" w:type="dxa"/>
            <w:shd w:val="clear" w:color="auto" w:fill="auto"/>
            <w:vAlign w:val="center"/>
          </w:tcPr>
          <w:p>
            <w:pPr>
              <w:jc w:val="right"/>
              <w:rPr>
                <w:rFonts w:hint="default" w:ascii="宋体" w:hAnsi="宋体"/>
                <w:b/>
                <w:sz w:val="18"/>
                <w:szCs w:val="18"/>
                <w:highlight w:val="none"/>
              </w:rPr>
            </w:pPr>
          </w:p>
        </w:tc>
        <w:tc>
          <w:tcPr>
            <w:tcW w:w="1442" w:type="dxa"/>
            <w:gridSpan w:val="2"/>
            <w:shd w:val="clear" w:color="auto" w:fill="auto"/>
            <w:vAlign w:val="center"/>
          </w:tcPr>
          <w:p>
            <w:pPr>
              <w:jc w:val="right"/>
              <w:rPr>
                <w:rFonts w:hint="default" w:ascii="宋体" w:hAnsi="宋体"/>
                <w:b/>
                <w:sz w:val="18"/>
                <w:szCs w:val="18"/>
                <w:highlight w:val="none"/>
              </w:rPr>
            </w:pPr>
          </w:p>
        </w:tc>
        <w:tc>
          <w:tcPr>
            <w:tcW w:w="885" w:type="dxa"/>
            <w:shd w:val="clear" w:color="auto" w:fill="auto"/>
            <w:vAlign w:val="center"/>
          </w:tcPr>
          <w:p>
            <w:pPr>
              <w:jc w:val="right"/>
              <w:rPr>
                <w:rFonts w:hint="default" w:ascii="宋体" w:hAnsi="宋体"/>
                <w:b/>
                <w:sz w:val="18"/>
                <w:szCs w:val="18"/>
                <w:highlight w:val="none"/>
              </w:rPr>
            </w:pPr>
          </w:p>
        </w:tc>
        <w:tc>
          <w:tcPr>
            <w:tcW w:w="918"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eastAsia" w:ascii="宋体" w:hAnsi="宋体"/>
                <w:b/>
                <w:color w:val="000000"/>
                <w:sz w:val="18"/>
                <w:szCs w:val="18"/>
                <w:highlight w:val="none"/>
              </w:rPr>
            </w:pPr>
            <w:r>
              <w:rPr>
                <w:rFonts w:hint="eastAsia" w:ascii="宋体" w:hAnsi="宋体"/>
                <w:b/>
                <w:color w:val="000000"/>
                <w:sz w:val="15"/>
                <w:szCs w:val="15"/>
                <w:highlight w:val="none"/>
              </w:rPr>
              <w:t>69.63</w:t>
            </w:r>
          </w:p>
        </w:tc>
        <w:tc>
          <w:tcPr>
            <w:tcW w:w="876"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210</w:t>
            </w:r>
          </w:p>
        </w:tc>
        <w:tc>
          <w:tcPr>
            <w:tcW w:w="256"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04</w:t>
            </w:r>
          </w:p>
        </w:tc>
        <w:tc>
          <w:tcPr>
            <w:tcW w:w="24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08</w:t>
            </w:r>
          </w:p>
        </w:tc>
        <w:tc>
          <w:tcPr>
            <w:tcW w:w="2433"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5"/>
                <w:szCs w:val="15"/>
                <w:highlight w:val="none"/>
              </w:rPr>
              <w:t xml:space="preserve">    基本公共卫生服务</w:t>
            </w:r>
          </w:p>
        </w:tc>
        <w:tc>
          <w:tcPr>
            <w:tcW w:w="1070"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23.49</w:t>
            </w:r>
          </w:p>
        </w:tc>
        <w:tc>
          <w:tcPr>
            <w:tcW w:w="1128" w:type="dxa"/>
            <w:shd w:val="clear" w:color="auto" w:fill="auto"/>
            <w:vAlign w:val="center"/>
          </w:tcPr>
          <w:p>
            <w:pPr>
              <w:jc w:val="right"/>
              <w:rPr>
                <w:rFonts w:hint="default" w:ascii="宋体" w:hAnsi="宋体"/>
                <w:sz w:val="18"/>
                <w:szCs w:val="18"/>
                <w:highlight w:val="none"/>
              </w:rPr>
            </w:pPr>
          </w:p>
        </w:tc>
        <w:tc>
          <w:tcPr>
            <w:tcW w:w="1082" w:type="dxa"/>
            <w:shd w:val="clear" w:color="auto" w:fill="auto"/>
            <w:vAlign w:val="center"/>
          </w:tcPr>
          <w:p>
            <w:pPr>
              <w:jc w:val="right"/>
              <w:rPr>
                <w:rFonts w:hint="default" w:ascii="宋体" w:hAnsi="宋体"/>
                <w:sz w:val="18"/>
                <w:szCs w:val="18"/>
                <w:highlight w:val="none"/>
              </w:rPr>
            </w:pPr>
          </w:p>
        </w:tc>
        <w:tc>
          <w:tcPr>
            <w:tcW w:w="1082" w:type="dxa"/>
            <w:shd w:val="clear" w:color="auto" w:fill="auto"/>
            <w:vAlign w:val="center"/>
          </w:tcPr>
          <w:p>
            <w:pPr>
              <w:jc w:val="right"/>
              <w:rPr>
                <w:rFonts w:hint="default" w:ascii="宋体" w:hAnsi="宋体"/>
                <w:sz w:val="15"/>
                <w:szCs w:val="15"/>
                <w:highlight w:val="none"/>
              </w:rPr>
            </w:pPr>
          </w:p>
        </w:tc>
        <w:tc>
          <w:tcPr>
            <w:tcW w:w="328" w:type="dxa"/>
            <w:shd w:val="clear" w:color="auto" w:fill="auto"/>
            <w:vAlign w:val="center"/>
          </w:tcPr>
          <w:p>
            <w:pPr>
              <w:jc w:val="right"/>
              <w:rPr>
                <w:rFonts w:hint="default" w:ascii="宋体" w:hAnsi="宋体"/>
                <w:sz w:val="18"/>
                <w:szCs w:val="18"/>
                <w:highlight w:val="none"/>
              </w:rPr>
            </w:pPr>
          </w:p>
        </w:tc>
        <w:tc>
          <w:tcPr>
            <w:tcW w:w="1442" w:type="dxa"/>
            <w:gridSpan w:val="2"/>
            <w:shd w:val="clear" w:color="auto" w:fill="auto"/>
            <w:vAlign w:val="center"/>
          </w:tcPr>
          <w:p>
            <w:pPr>
              <w:jc w:val="right"/>
              <w:rPr>
                <w:rFonts w:hint="default" w:ascii="宋体" w:hAnsi="宋体"/>
                <w:sz w:val="18"/>
                <w:szCs w:val="18"/>
                <w:highlight w:val="none"/>
              </w:rPr>
            </w:pPr>
          </w:p>
        </w:tc>
        <w:tc>
          <w:tcPr>
            <w:tcW w:w="885" w:type="dxa"/>
            <w:shd w:val="clear" w:color="auto" w:fill="auto"/>
            <w:vAlign w:val="center"/>
          </w:tcPr>
          <w:p>
            <w:pPr>
              <w:jc w:val="right"/>
              <w:rPr>
                <w:rFonts w:hint="default" w:ascii="宋体" w:hAnsi="宋体"/>
                <w:sz w:val="18"/>
                <w:szCs w:val="18"/>
                <w:highlight w:val="none"/>
              </w:rPr>
            </w:pPr>
          </w:p>
        </w:tc>
        <w:tc>
          <w:tcPr>
            <w:tcW w:w="918"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r>
              <w:rPr>
                <w:rFonts w:hint="eastAsia" w:ascii="宋体" w:hAnsi="宋体"/>
                <w:color w:val="000000"/>
                <w:sz w:val="15"/>
                <w:szCs w:val="15"/>
                <w:highlight w:val="none"/>
              </w:rPr>
              <w:t>23.49</w:t>
            </w:r>
          </w:p>
        </w:tc>
        <w:tc>
          <w:tcPr>
            <w:tcW w:w="876"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210</w:t>
            </w:r>
          </w:p>
        </w:tc>
        <w:tc>
          <w:tcPr>
            <w:tcW w:w="256"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04</w:t>
            </w:r>
          </w:p>
        </w:tc>
        <w:tc>
          <w:tcPr>
            <w:tcW w:w="24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09</w:t>
            </w:r>
          </w:p>
        </w:tc>
        <w:tc>
          <w:tcPr>
            <w:tcW w:w="2433"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5"/>
                <w:szCs w:val="15"/>
                <w:highlight w:val="none"/>
              </w:rPr>
              <w:t xml:space="preserve">    重大公共卫生服务</w:t>
            </w:r>
          </w:p>
        </w:tc>
        <w:tc>
          <w:tcPr>
            <w:tcW w:w="1070"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13.85</w:t>
            </w:r>
          </w:p>
        </w:tc>
        <w:tc>
          <w:tcPr>
            <w:tcW w:w="1128" w:type="dxa"/>
            <w:shd w:val="clear" w:color="auto" w:fill="auto"/>
            <w:vAlign w:val="center"/>
          </w:tcPr>
          <w:p>
            <w:pPr>
              <w:jc w:val="right"/>
              <w:rPr>
                <w:rFonts w:hint="default" w:ascii="宋体" w:hAnsi="宋体"/>
                <w:sz w:val="18"/>
                <w:szCs w:val="18"/>
                <w:highlight w:val="none"/>
              </w:rPr>
            </w:pPr>
          </w:p>
        </w:tc>
        <w:tc>
          <w:tcPr>
            <w:tcW w:w="1082" w:type="dxa"/>
            <w:shd w:val="clear" w:color="auto" w:fill="auto"/>
            <w:vAlign w:val="center"/>
          </w:tcPr>
          <w:p>
            <w:pPr>
              <w:jc w:val="right"/>
              <w:rPr>
                <w:rFonts w:hint="default" w:ascii="宋体" w:hAnsi="宋体"/>
                <w:sz w:val="18"/>
                <w:szCs w:val="18"/>
                <w:highlight w:val="none"/>
              </w:rPr>
            </w:pPr>
          </w:p>
        </w:tc>
        <w:tc>
          <w:tcPr>
            <w:tcW w:w="1082" w:type="dxa"/>
            <w:shd w:val="clear" w:color="auto" w:fill="auto"/>
            <w:vAlign w:val="center"/>
          </w:tcPr>
          <w:p>
            <w:pPr>
              <w:jc w:val="right"/>
              <w:rPr>
                <w:rFonts w:hint="default" w:ascii="宋体" w:hAnsi="宋体"/>
                <w:sz w:val="15"/>
                <w:szCs w:val="15"/>
                <w:highlight w:val="none"/>
              </w:rPr>
            </w:pPr>
          </w:p>
        </w:tc>
        <w:tc>
          <w:tcPr>
            <w:tcW w:w="328" w:type="dxa"/>
            <w:shd w:val="clear" w:color="auto" w:fill="auto"/>
            <w:vAlign w:val="center"/>
          </w:tcPr>
          <w:p>
            <w:pPr>
              <w:jc w:val="right"/>
              <w:rPr>
                <w:rFonts w:hint="default" w:ascii="宋体" w:hAnsi="宋体"/>
                <w:sz w:val="18"/>
                <w:szCs w:val="18"/>
                <w:highlight w:val="none"/>
              </w:rPr>
            </w:pPr>
          </w:p>
        </w:tc>
        <w:tc>
          <w:tcPr>
            <w:tcW w:w="1442" w:type="dxa"/>
            <w:gridSpan w:val="2"/>
            <w:shd w:val="clear" w:color="auto" w:fill="auto"/>
            <w:vAlign w:val="center"/>
          </w:tcPr>
          <w:p>
            <w:pPr>
              <w:jc w:val="right"/>
              <w:rPr>
                <w:rFonts w:hint="default" w:ascii="宋体" w:hAnsi="宋体"/>
                <w:sz w:val="18"/>
                <w:szCs w:val="18"/>
                <w:highlight w:val="none"/>
              </w:rPr>
            </w:pPr>
          </w:p>
        </w:tc>
        <w:tc>
          <w:tcPr>
            <w:tcW w:w="885" w:type="dxa"/>
            <w:shd w:val="clear" w:color="auto" w:fill="auto"/>
            <w:vAlign w:val="center"/>
          </w:tcPr>
          <w:p>
            <w:pPr>
              <w:jc w:val="right"/>
              <w:rPr>
                <w:rFonts w:hint="default" w:ascii="宋体" w:hAnsi="宋体"/>
                <w:sz w:val="18"/>
                <w:szCs w:val="18"/>
                <w:highlight w:val="none"/>
              </w:rPr>
            </w:pPr>
          </w:p>
        </w:tc>
        <w:tc>
          <w:tcPr>
            <w:tcW w:w="918"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r>
              <w:rPr>
                <w:rFonts w:hint="eastAsia" w:ascii="宋体" w:hAnsi="宋体"/>
                <w:color w:val="000000"/>
                <w:sz w:val="15"/>
                <w:szCs w:val="15"/>
                <w:highlight w:val="none"/>
              </w:rPr>
              <w:t>13.85</w:t>
            </w:r>
          </w:p>
        </w:tc>
        <w:tc>
          <w:tcPr>
            <w:tcW w:w="876"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210</w:t>
            </w:r>
          </w:p>
        </w:tc>
        <w:tc>
          <w:tcPr>
            <w:tcW w:w="256"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04</w:t>
            </w:r>
          </w:p>
        </w:tc>
        <w:tc>
          <w:tcPr>
            <w:tcW w:w="24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99</w:t>
            </w:r>
          </w:p>
        </w:tc>
        <w:tc>
          <w:tcPr>
            <w:tcW w:w="2433"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5"/>
                <w:szCs w:val="15"/>
                <w:highlight w:val="none"/>
              </w:rPr>
              <w:t xml:space="preserve">    其他公共卫生支出</w:t>
            </w:r>
          </w:p>
        </w:tc>
        <w:tc>
          <w:tcPr>
            <w:tcW w:w="1070"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32.28</w:t>
            </w:r>
          </w:p>
        </w:tc>
        <w:tc>
          <w:tcPr>
            <w:tcW w:w="1128" w:type="dxa"/>
            <w:shd w:val="clear" w:color="auto" w:fill="auto"/>
            <w:vAlign w:val="center"/>
          </w:tcPr>
          <w:p>
            <w:pPr>
              <w:jc w:val="right"/>
              <w:rPr>
                <w:rFonts w:hint="default" w:ascii="宋体" w:hAnsi="宋体"/>
                <w:sz w:val="18"/>
                <w:szCs w:val="18"/>
                <w:highlight w:val="none"/>
              </w:rPr>
            </w:pPr>
          </w:p>
        </w:tc>
        <w:tc>
          <w:tcPr>
            <w:tcW w:w="1082" w:type="dxa"/>
            <w:shd w:val="clear" w:color="auto" w:fill="auto"/>
            <w:vAlign w:val="center"/>
          </w:tcPr>
          <w:p>
            <w:pPr>
              <w:jc w:val="right"/>
              <w:rPr>
                <w:rFonts w:hint="default" w:ascii="宋体" w:hAnsi="宋体"/>
                <w:sz w:val="18"/>
                <w:szCs w:val="18"/>
                <w:highlight w:val="none"/>
              </w:rPr>
            </w:pPr>
          </w:p>
        </w:tc>
        <w:tc>
          <w:tcPr>
            <w:tcW w:w="1082" w:type="dxa"/>
            <w:shd w:val="clear" w:color="auto" w:fill="auto"/>
            <w:vAlign w:val="center"/>
          </w:tcPr>
          <w:p>
            <w:pPr>
              <w:jc w:val="right"/>
              <w:rPr>
                <w:rFonts w:hint="default" w:ascii="宋体" w:hAnsi="宋体"/>
                <w:sz w:val="15"/>
                <w:szCs w:val="15"/>
                <w:highlight w:val="none"/>
              </w:rPr>
            </w:pPr>
          </w:p>
        </w:tc>
        <w:tc>
          <w:tcPr>
            <w:tcW w:w="328" w:type="dxa"/>
            <w:shd w:val="clear" w:color="auto" w:fill="auto"/>
            <w:vAlign w:val="center"/>
          </w:tcPr>
          <w:p>
            <w:pPr>
              <w:jc w:val="right"/>
              <w:rPr>
                <w:rFonts w:hint="default" w:ascii="宋体" w:hAnsi="宋体"/>
                <w:sz w:val="18"/>
                <w:szCs w:val="18"/>
                <w:highlight w:val="none"/>
              </w:rPr>
            </w:pPr>
          </w:p>
        </w:tc>
        <w:tc>
          <w:tcPr>
            <w:tcW w:w="1442" w:type="dxa"/>
            <w:gridSpan w:val="2"/>
            <w:shd w:val="clear" w:color="auto" w:fill="auto"/>
            <w:vAlign w:val="center"/>
          </w:tcPr>
          <w:p>
            <w:pPr>
              <w:jc w:val="right"/>
              <w:rPr>
                <w:rFonts w:hint="default" w:ascii="宋体" w:hAnsi="宋体"/>
                <w:sz w:val="18"/>
                <w:szCs w:val="18"/>
                <w:highlight w:val="none"/>
              </w:rPr>
            </w:pPr>
          </w:p>
        </w:tc>
        <w:tc>
          <w:tcPr>
            <w:tcW w:w="885" w:type="dxa"/>
            <w:shd w:val="clear" w:color="auto" w:fill="auto"/>
            <w:vAlign w:val="center"/>
          </w:tcPr>
          <w:p>
            <w:pPr>
              <w:jc w:val="right"/>
              <w:rPr>
                <w:rFonts w:hint="default" w:ascii="宋体" w:hAnsi="宋体"/>
                <w:sz w:val="18"/>
                <w:szCs w:val="18"/>
                <w:highlight w:val="none"/>
              </w:rPr>
            </w:pPr>
          </w:p>
        </w:tc>
        <w:tc>
          <w:tcPr>
            <w:tcW w:w="918"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r>
              <w:rPr>
                <w:rFonts w:hint="eastAsia" w:ascii="宋体" w:hAnsi="宋体"/>
                <w:color w:val="000000"/>
                <w:sz w:val="15"/>
                <w:szCs w:val="15"/>
                <w:highlight w:val="none"/>
              </w:rPr>
              <w:t>32.28</w:t>
            </w:r>
          </w:p>
        </w:tc>
        <w:tc>
          <w:tcPr>
            <w:tcW w:w="876"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210</w:t>
            </w:r>
          </w:p>
        </w:tc>
        <w:tc>
          <w:tcPr>
            <w:tcW w:w="256"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11</w:t>
            </w:r>
          </w:p>
        </w:tc>
        <w:tc>
          <w:tcPr>
            <w:tcW w:w="247" w:type="dxa"/>
            <w:shd w:val="clear" w:color="auto" w:fill="auto"/>
            <w:vAlign w:val="center"/>
          </w:tcPr>
          <w:p>
            <w:pPr>
              <w:jc w:val="center"/>
              <w:rPr>
                <w:rFonts w:hint="default" w:ascii="宋体" w:hAnsi="宋体"/>
                <w:b/>
                <w:sz w:val="18"/>
                <w:szCs w:val="18"/>
                <w:highlight w:val="none"/>
              </w:rPr>
            </w:pPr>
          </w:p>
        </w:tc>
        <w:tc>
          <w:tcPr>
            <w:tcW w:w="2433"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5"/>
                <w:szCs w:val="15"/>
                <w:highlight w:val="none"/>
              </w:rPr>
              <w:t xml:space="preserve">  行政事业单位医疗</w:t>
            </w:r>
          </w:p>
        </w:tc>
        <w:tc>
          <w:tcPr>
            <w:tcW w:w="1070"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25.64</w:t>
            </w:r>
          </w:p>
        </w:tc>
        <w:tc>
          <w:tcPr>
            <w:tcW w:w="1128"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25.64</w:t>
            </w:r>
          </w:p>
        </w:tc>
        <w:tc>
          <w:tcPr>
            <w:tcW w:w="1082"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25.64</w:t>
            </w:r>
          </w:p>
        </w:tc>
        <w:tc>
          <w:tcPr>
            <w:tcW w:w="1082" w:type="dxa"/>
            <w:shd w:val="clear" w:color="auto" w:fill="auto"/>
            <w:vAlign w:val="center"/>
          </w:tcPr>
          <w:p>
            <w:pPr>
              <w:jc w:val="right"/>
              <w:rPr>
                <w:rFonts w:hint="default" w:ascii="宋体" w:hAnsi="宋体"/>
                <w:b/>
                <w:sz w:val="15"/>
                <w:szCs w:val="15"/>
                <w:highlight w:val="none"/>
              </w:rPr>
            </w:pPr>
          </w:p>
        </w:tc>
        <w:tc>
          <w:tcPr>
            <w:tcW w:w="328" w:type="dxa"/>
            <w:shd w:val="clear" w:color="auto" w:fill="auto"/>
            <w:vAlign w:val="center"/>
          </w:tcPr>
          <w:p>
            <w:pPr>
              <w:jc w:val="right"/>
              <w:rPr>
                <w:rFonts w:hint="default" w:ascii="宋体" w:hAnsi="宋体"/>
                <w:b/>
                <w:sz w:val="18"/>
                <w:szCs w:val="18"/>
                <w:highlight w:val="none"/>
              </w:rPr>
            </w:pPr>
          </w:p>
        </w:tc>
        <w:tc>
          <w:tcPr>
            <w:tcW w:w="1442" w:type="dxa"/>
            <w:gridSpan w:val="2"/>
            <w:shd w:val="clear" w:color="auto" w:fill="auto"/>
            <w:vAlign w:val="center"/>
          </w:tcPr>
          <w:p>
            <w:pPr>
              <w:jc w:val="right"/>
              <w:rPr>
                <w:rFonts w:hint="default" w:ascii="宋体" w:hAnsi="宋体"/>
                <w:b/>
                <w:sz w:val="18"/>
                <w:szCs w:val="18"/>
                <w:highlight w:val="none"/>
              </w:rPr>
            </w:pPr>
          </w:p>
        </w:tc>
        <w:tc>
          <w:tcPr>
            <w:tcW w:w="885" w:type="dxa"/>
            <w:shd w:val="clear" w:color="auto" w:fill="auto"/>
            <w:vAlign w:val="center"/>
          </w:tcPr>
          <w:p>
            <w:pPr>
              <w:jc w:val="right"/>
              <w:rPr>
                <w:rFonts w:hint="default" w:ascii="宋体" w:hAnsi="宋体"/>
                <w:b/>
                <w:sz w:val="18"/>
                <w:szCs w:val="18"/>
                <w:highlight w:val="none"/>
              </w:rPr>
            </w:pPr>
          </w:p>
        </w:tc>
        <w:tc>
          <w:tcPr>
            <w:tcW w:w="918"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eastAsia" w:ascii="宋体" w:hAnsi="宋体"/>
                <w:b/>
                <w:color w:val="000000"/>
                <w:sz w:val="18"/>
                <w:szCs w:val="18"/>
                <w:highlight w:val="none"/>
              </w:rPr>
            </w:pPr>
          </w:p>
        </w:tc>
        <w:tc>
          <w:tcPr>
            <w:tcW w:w="876"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210</w:t>
            </w:r>
          </w:p>
        </w:tc>
        <w:tc>
          <w:tcPr>
            <w:tcW w:w="256"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11</w:t>
            </w:r>
          </w:p>
        </w:tc>
        <w:tc>
          <w:tcPr>
            <w:tcW w:w="24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02</w:t>
            </w:r>
          </w:p>
        </w:tc>
        <w:tc>
          <w:tcPr>
            <w:tcW w:w="2433"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5"/>
                <w:szCs w:val="15"/>
                <w:highlight w:val="none"/>
              </w:rPr>
              <w:t xml:space="preserve">    事业单位医疗</w:t>
            </w:r>
          </w:p>
        </w:tc>
        <w:tc>
          <w:tcPr>
            <w:tcW w:w="1070"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25.64</w:t>
            </w:r>
          </w:p>
        </w:tc>
        <w:tc>
          <w:tcPr>
            <w:tcW w:w="1128"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25.64</w:t>
            </w:r>
          </w:p>
        </w:tc>
        <w:tc>
          <w:tcPr>
            <w:tcW w:w="1082"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25.64</w:t>
            </w:r>
          </w:p>
        </w:tc>
        <w:tc>
          <w:tcPr>
            <w:tcW w:w="1082" w:type="dxa"/>
            <w:shd w:val="clear" w:color="auto" w:fill="auto"/>
            <w:vAlign w:val="center"/>
          </w:tcPr>
          <w:p>
            <w:pPr>
              <w:jc w:val="right"/>
              <w:rPr>
                <w:rFonts w:hint="default" w:ascii="宋体" w:hAnsi="宋体"/>
                <w:sz w:val="15"/>
                <w:szCs w:val="15"/>
                <w:highlight w:val="none"/>
              </w:rPr>
            </w:pPr>
          </w:p>
        </w:tc>
        <w:tc>
          <w:tcPr>
            <w:tcW w:w="328" w:type="dxa"/>
            <w:shd w:val="clear" w:color="auto" w:fill="auto"/>
            <w:vAlign w:val="center"/>
          </w:tcPr>
          <w:p>
            <w:pPr>
              <w:jc w:val="right"/>
              <w:rPr>
                <w:rFonts w:hint="default" w:ascii="宋体" w:hAnsi="宋体"/>
                <w:sz w:val="18"/>
                <w:szCs w:val="18"/>
                <w:highlight w:val="none"/>
              </w:rPr>
            </w:pPr>
          </w:p>
        </w:tc>
        <w:tc>
          <w:tcPr>
            <w:tcW w:w="1442" w:type="dxa"/>
            <w:gridSpan w:val="2"/>
            <w:shd w:val="clear" w:color="auto" w:fill="auto"/>
            <w:vAlign w:val="center"/>
          </w:tcPr>
          <w:p>
            <w:pPr>
              <w:jc w:val="right"/>
              <w:rPr>
                <w:rFonts w:hint="default" w:ascii="宋体" w:hAnsi="宋体"/>
                <w:sz w:val="18"/>
                <w:szCs w:val="18"/>
                <w:highlight w:val="none"/>
              </w:rPr>
            </w:pPr>
          </w:p>
        </w:tc>
        <w:tc>
          <w:tcPr>
            <w:tcW w:w="885" w:type="dxa"/>
            <w:shd w:val="clear" w:color="auto" w:fill="auto"/>
            <w:vAlign w:val="center"/>
          </w:tcPr>
          <w:p>
            <w:pPr>
              <w:jc w:val="right"/>
              <w:rPr>
                <w:rFonts w:hint="default" w:ascii="宋体" w:hAnsi="宋体"/>
                <w:sz w:val="18"/>
                <w:szCs w:val="18"/>
                <w:highlight w:val="none"/>
              </w:rPr>
            </w:pPr>
          </w:p>
        </w:tc>
        <w:tc>
          <w:tcPr>
            <w:tcW w:w="918"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221</w:t>
            </w:r>
          </w:p>
        </w:tc>
        <w:tc>
          <w:tcPr>
            <w:tcW w:w="256" w:type="dxa"/>
            <w:shd w:val="clear" w:color="auto" w:fill="auto"/>
            <w:vAlign w:val="center"/>
          </w:tcPr>
          <w:p>
            <w:pPr>
              <w:jc w:val="center"/>
              <w:rPr>
                <w:rFonts w:hint="default" w:ascii="宋体" w:hAnsi="宋体"/>
                <w:b/>
                <w:sz w:val="18"/>
                <w:szCs w:val="18"/>
                <w:highlight w:val="none"/>
              </w:rPr>
            </w:pPr>
          </w:p>
        </w:tc>
        <w:tc>
          <w:tcPr>
            <w:tcW w:w="247" w:type="dxa"/>
            <w:shd w:val="clear" w:color="auto" w:fill="auto"/>
            <w:vAlign w:val="center"/>
          </w:tcPr>
          <w:p>
            <w:pPr>
              <w:jc w:val="center"/>
              <w:rPr>
                <w:rFonts w:hint="default" w:ascii="宋体" w:hAnsi="宋体"/>
                <w:b/>
                <w:sz w:val="18"/>
                <w:szCs w:val="18"/>
                <w:highlight w:val="none"/>
              </w:rPr>
            </w:pPr>
          </w:p>
        </w:tc>
        <w:tc>
          <w:tcPr>
            <w:tcW w:w="2433"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5"/>
                <w:szCs w:val="15"/>
                <w:highlight w:val="none"/>
              </w:rPr>
              <w:t>住房保障支出</w:t>
            </w:r>
          </w:p>
        </w:tc>
        <w:tc>
          <w:tcPr>
            <w:tcW w:w="1070"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47.33</w:t>
            </w:r>
          </w:p>
        </w:tc>
        <w:tc>
          <w:tcPr>
            <w:tcW w:w="1128"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47.33</w:t>
            </w:r>
          </w:p>
        </w:tc>
        <w:tc>
          <w:tcPr>
            <w:tcW w:w="1082"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47.33</w:t>
            </w:r>
          </w:p>
        </w:tc>
        <w:tc>
          <w:tcPr>
            <w:tcW w:w="1082" w:type="dxa"/>
            <w:shd w:val="clear" w:color="auto" w:fill="auto"/>
            <w:vAlign w:val="center"/>
          </w:tcPr>
          <w:p>
            <w:pPr>
              <w:jc w:val="right"/>
              <w:rPr>
                <w:rFonts w:hint="default" w:ascii="宋体" w:hAnsi="宋体"/>
                <w:b/>
                <w:sz w:val="15"/>
                <w:szCs w:val="15"/>
                <w:highlight w:val="none"/>
              </w:rPr>
            </w:pPr>
          </w:p>
        </w:tc>
        <w:tc>
          <w:tcPr>
            <w:tcW w:w="328" w:type="dxa"/>
            <w:shd w:val="clear" w:color="auto" w:fill="auto"/>
            <w:vAlign w:val="center"/>
          </w:tcPr>
          <w:p>
            <w:pPr>
              <w:jc w:val="right"/>
              <w:rPr>
                <w:rFonts w:hint="default" w:ascii="宋体" w:hAnsi="宋体"/>
                <w:b/>
                <w:sz w:val="18"/>
                <w:szCs w:val="18"/>
                <w:highlight w:val="none"/>
              </w:rPr>
            </w:pPr>
          </w:p>
        </w:tc>
        <w:tc>
          <w:tcPr>
            <w:tcW w:w="1442" w:type="dxa"/>
            <w:gridSpan w:val="2"/>
            <w:shd w:val="clear" w:color="auto" w:fill="auto"/>
            <w:vAlign w:val="center"/>
          </w:tcPr>
          <w:p>
            <w:pPr>
              <w:jc w:val="right"/>
              <w:rPr>
                <w:rFonts w:hint="default" w:ascii="宋体" w:hAnsi="宋体"/>
                <w:b/>
                <w:sz w:val="18"/>
                <w:szCs w:val="18"/>
                <w:highlight w:val="none"/>
              </w:rPr>
            </w:pPr>
          </w:p>
        </w:tc>
        <w:tc>
          <w:tcPr>
            <w:tcW w:w="885" w:type="dxa"/>
            <w:shd w:val="clear" w:color="auto" w:fill="auto"/>
            <w:vAlign w:val="center"/>
          </w:tcPr>
          <w:p>
            <w:pPr>
              <w:jc w:val="right"/>
              <w:rPr>
                <w:rFonts w:hint="default" w:ascii="宋体" w:hAnsi="宋体"/>
                <w:b/>
                <w:sz w:val="18"/>
                <w:szCs w:val="18"/>
                <w:highlight w:val="none"/>
              </w:rPr>
            </w:pPr>
          </w:p>
        </w:tc>
        <w:tc>
          <w:tcPr>
            <w:tcW w:w="918"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eastAsia" w:ascii="宋体" w:hAnsi="宋体"/>
                <w:b/>
                <w:color w:val="000000"/>
                <w:sz w:val="18"/>
                <w:szCs w:val="18"/>
                <w:highlight w:val="none"/>
              </w:rPr>
            </w:pPr>
          </w:p>
        </w:tc>
        <w:tc>
          <w:tcPr>
            <w:tcW w:w="876"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221</w:t>
            </w:r>
          </w:p>
        </w:tc>
        <w:tc>
          <w:tcPr>
            <w:tcW w:w="256"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02</w:t>
            </w:r>
          </w:p>
        </w:tc>
        <w:tc>
          <w:tcPr>
            <w:tcW w:w="247" w:type="dxa"/>
            <w:shd w:val="clear" w:color="auto" w:fill="auto"/>
            <w:vAlign w:val="center"/>
          </w:tcPr>
          <w:p>
            <w:pPr>
              <w:jc w:val="center"/>
              <w:rPr>
                <w:rFonts w:hint="default" w:ascii="宋体" w:hAnsi="宋体"/>
                <w:b/>
                <w:sz w:val="18"/>
                <w:szCs w:val="18"/>
                <w:highlight w:val="none"/>
              </w:rPr>
            </w:pPr>
          </w:p>
        </w:tc>
        <w:tc>
          <w:tcPr>
            <w:tcW w:w="2433"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5"/>
                <w:szCs w:val="15"/>
                <w:highlight w:val="none"/>
              </w:rPr>
              <w:t xml:space="preserve">  住房改革支出</w:t>
            </w:r>
          </w:p>
        </w:tc>
        <w:tc>
          <w:tcPr>
            <w:tcW w:w="1070"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47.33</w:t>
            </w:r>
          </w:p>
        </w:tc>
        <w:tc>
          <w:tcPr>
            <w:tcW w:w="1128"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47.33</w:t>
            </w:r>
          </w:p>
        </w:tc>
        <w:tc>
          <w:tcPr>
            <w:tcW w:w="1082"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47.33</w:t>
            </w:r>
          </w:p>
        </w:tc>
        <w:tc>
          <w:tcPr>
            <w:tcW w:w="1082" w:type="dxa"/>
            <w:shd w:val="clear" w:color="auto" w:fill="auto"/>
            <w:vAlign w:val="center"/>
          </w:tcPr>
          <w:p>
            <w:pPr>
              <w:jc w:val="right"/>
              <w:rPr>
                <w:rFonts w:hint="default" w:ascii="宋体" w:hAnsi="宋体"/>
                <w:b/>
                <w:sz w:val="15"/>
                <w:szCs w:val="15"/>
                <w:highlight w:val="none"/>
              </w:rPr>
            </w:pPr>
          </w:p>
        </w:tc>
        <w:tc>
          <w:tcPr>
            <w:tcW w:w="328" w:type="dxa"/>
            <w:shd w:val="clear" w:color="auto" w:fill="auto"/>
            <w:vAlign w:val="center"/>
          </w:tcPr>
          <w:p>
            <w:pPr>
              <w:jc w:val="right"/>
              <w:rPr>
                <w:rFonts w:hint="default" w:ascii="宋体" w:hAnsi="宋体"/>
                <w:b/>
                <w:sz w:val="18"/>
                <w:szCs w:val="18"/>
                <w:highlight w:val="none"/>
              </w:rPr>
            </w:pPr>
          </w:p>
        </w:tc>
        <w:tc>
          <w:tcPr>
            <w:tcW w:w="1442" w:type="dxa"/>
            <w:gridSpan w:val="2"/>
            <w:shd w:val="clear" w:color="auto" w:fill="auto"/>
            <w:vAlign w:val="center"/>
          </w:tcPr>
          <w:p>
            <w:pPr>
              <w:jc w:val="right"/>
              <w:rPr>
                <w:rFonts w:hint="default" w:ascii="宋体" w:hAnsi="宋体"/>
                <w:b/>
                <w:sz w:val="18"/>
                <w:szCs w:val="18"/>
                <w:highlight w:val="none"/>
              </w:rPr>
            </w:pPr>
          </w:p>
        </w:tc>
        <w:tc>
          <w:tcPr>
            <w:tcW w:w="885" w:type="dxa"/>
            <w:shd w:val="clear" w:color="auto" w:fill="auto"/>
            <w:vAlign w:val="center"/>
          </w:tcPr>
          <w:p>
            <w:pPr>
              <w:jc w:val="right"/>
              <w:rPr>
                <w:rFonts w:hint="default" w:ascii="宋体" w:hAnsi="宋体"/>
                <w:b/>
                <w:sz w:val="18"/>
                <w:szCs w:val="18"/>
                <w:highlight w:val="none"/>
              </w:rPr>
            </w:pPr>
          </w:p>
        </w:tc>
        <w:tc>
          <w:tcPr>
            <w:tcW w:w="918"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eastAsia" w:ascii="宋体" w:hAnsi="宋体"/>
                <w:b/>
                <w:color w:val="000000"/>
                <w:sz w:val="18"/>
                <w:szCs w:val="18"/>
                <w:highlight w:val="none"/>
              </w:rPr>
            </w:pPr>
          </w:p>
        </w:tc>
        <w:tc>
          <w:tcPr>
            <w:tcW w:w="876"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221</w:t>
            </w:r>
          </w:p>
        </w:tc>
        <w:tc>
          <w:tcPr>
            <w:tcW w:w="256"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02</w:t>
            </w:r>
          </w:p>
        </w:tc>
        <w:tc>
          <w:tcPr>
            <w:tcW w:w="24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01</w:t>
            </w:r>
          </w:p>
        </w:tc>
        <w:tc>
          <w:tcPr>
            <w:tcW w:w="2433"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5"/>
                <w:szCs w:val="15"/>
                <w:highlight w:val="none"/>
              </w:rPr>
              <w:t xml:space="preserve">    住房公积金</w:t>
            </w:r>
          </w:p>
        </w:tc>
        <w:tc>
          <w:tcPr>
            <w:tcW w:w="1070"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47.33</w:t>
            </w:r>
          </w:p>
        </w:tc>
        <w:tc>
          <w:tcPr>
            <w:tcW w:w="1128"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47.33</w:t>
            </w:r>
          </w:p>
        </w:tc>
        <w:tc>
          <w:tcPr>
            <w:tcW w:w="1082"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47.33</w:t>
            </w:r>
          </w:p>
        </w:tc>
        <w:tc>
          <w:tcPr>
            <w:tcW w:w="1082" w:type="dxa"/>
            <w:shd w:val="clear" w:color="auto" w:fill="auto"/>
            <w:vAlign w:val="center"/>
          </w:tcPr>
          <w:p>
            <w:pPr>
              <w:jc w:val="right"/>
              <w:rPr>
                <w:rFonts w:hint="default" w:ascii="宋体" w:hAnsi="宋体"/>
                <w:sz w:val="15"/>
                <w:szCs w:val="15"/>
                <w:highlight w:val="none"/>
              </w:rPr>
            </w:pPr>
          </w:p>
        </w:tc>
        <w:tc>
          <w:tcPr>
            <w:tcW w:w="328" w:type="dxa"/>
            <w:shd w:val="clear" w:color="auto" w:fill="auto"/>
            <w:vAlign w:val="center"/>
          </w:tcPr>
          <w:p>
            <w:pPr>
              <w:jc w:val="right"/>
              <w:rPr>
                <w:rFonts w:hint="default" w:ascii="宋体" w:hAnsi="宋体"/>
                <w:sz w:val="18"/>
                <w:szCs w:val="18"/>
                <w:highlight w:val="none"/>
              </w:rPr>
            </w:pPr>
          </w:p>
        </w:tc>
        <w:tc>
          <w:tcPr>
            <w:tcW w:w="1442" w:type="dxa"/>
            <w:gridSpan w:val="2"/>
            <w:shd w:val="clear" w:color="auto" w:fill="auto"/>
            <w:vAlign w:val="center"/>
          </w:tcPr>
          <w:p>
            <w:pPr>
              <w:jc w:val="right"/>
              <w:rPr>
                <w:rFonts w:hint="default" w:ascii="宋体" w:hAnsi="宋体"/>
                <w:sz w:val="18"/>
                <w:szCs w:val="18"/>
                <w:highlight w:val="none"/>
              </w:rPr>
            </w:pPr>
          </w:p>
        </w:tc>
        <w:tc>
          <w:tcPr>
            <w:tcW w:w="885" w:type="dxa"/>
            <w:shd w:val="clear" w:color="auto" w:fill="auto"/>
            <w:vAlign w:val="center"/>
          </w:tcPr>
          <w:p>
            <w:pPr>
              <w:jc w:val="right"/>
              <w:rPr>
                <w:rFonts w:hint="default" w:ascii="宋体" w:hAnsi="宋体"/>
                <w:sz w:val="18"/>
                <w:szCs w:val="18"/>
                <w:highlight w:val="none"/>
              </w:rPr>
            </w:pPr>
          </w:p>
        </w:tc>
        <w:tc>
          <w:tcPr>
            <w:tcW w:w="918"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229</w:t>
            </w:r>
          </w:p>
        </w:tc>
        <w:tc>
          <w:tcPr>
            <w:tcW w:w="256" w:type="dxa"/>
            <w:shd w:val="clear" w:color="auto" w:fill="auto"/>
            <w:vAlign w:val="center"/>
          </w:tcPr>
          <w:p>
            <w:pPr>
              <w:jc w:val="center"/>
              <w:rPr>
                <w:rFonts w:hint="default" w:ascii="宋体" w:hAnsi="宋体"/>
                <w:b/>
                <w:sz w:val="18"/>
                <w:szCs w:val="18"/>
                <w:highlight w:val="none"/>
              </w:rPr>
            </w:pPr>
          </w:p>
        </w:tc>
        <w:tc>
          <w:tcPr>
            <w:tcW w:w="247" w:type="dxa"/>
            <w:shd w:val="clear" w:color="auto" w:fill="auto"/>
            <w:vAlign w:val="center"/>
          </w:tcPr>
          <w:p>
            <w:pPr>
              <w:jc w:val="center"/>
              <w:rPr>
                <w:rFonts w:hint="default" w:ascii="宋体" w:hAnsi="宋体"/>
                <w:b/>
                <w:sz w:val="18"/>
                <w:szCs w:val="18"/>
                <w:highlight w:val="none"/>
              </w:rPr>
            </w:pPr>
          </w:p>
        </w:tc>
        <w:tc>
          <w:tcPr>
            <w:tcW w:w="2433"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5"/>
                <w:szCs w:val="15"/>
                <w:highlight w:val="none"/>
              </w:rPr>
              <w:t>其他支出</w:t>
            </w:r>
          </w:p>
        </w:tc>
        <w:tc>
          <w:tcPr>
            <w:tcW w:w="1070"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0.68</w:t>
            </w:r>
          </w:p>
        </w:tc>
        <w:tc>
          <w:tcPr>
            <w:tcW w:w="1128" w:type="dxa"/>
            <w:shd w:val="clear" w:color="auto" w:fill="auto"/>
            <w:vAlign w:val="center"/>
          </w:tcPr>
          <w:p>
            <w:pPr>
              <w:jc w:val="right"/>
              <w:rPr>
                <w:rFonts w:hint="default" w:ascii="宋体" w:hAnsi="宋体"/>
                <w:b/>
                <w:sz w:val="18"/>
                <w:szCs w:val="18"/>
                <w:highlight w:val="none"/>
              </w:rPr>
            </w:pPr>
          </w:p>
        </w:tc>
        <w:tc>
          <w:tcPr>
            <w:tcW w:w="1082" w:type="dxa"/>
            <w:shd w:val="clear" w:color="auto" w:fill="auto"/>
            <w:vAlign w:val="center"/>
          </w:tcPr>
          <w:p>
            <w:pPr>
              <w:jc w:val="right"/>
              <w:rPr>
                <w:rFonts w:hint="default" w:ascii="宋体" w:hAnsi="宋体"/>
                <w:b/>
                <w:sz w:val="18"/>
                <w:szCs w:val="18"/>
                <w:highlight w:val="none"/>
              </w:rPr>
            </w:pPr>
          </w:p>
        </w:tc>
        <w:tc>
          <w:tcPr>
            <w:tcW w:w="1082" w:type="dxa"/>
            <w:shd w:val="clear" w:color="auto" w:fill="auto"/>
            <w:vAlign w:val="center"/>
          </w:tcPr>
          <w:p>
            <w:pPr>
              <w:jc w:val="right"/>
              <w:rPr>
                <w:rFonts w:hint="default" w:ascii="宋体" w:hAnsi="宋体"/>
                <w:b/>
                <w:sz w:val="15"/>
                <w:szCs w:val="15"/>
                <w:highlight w:val="none"/>
              </w:rPr>
            </w:pPr>
          </w:p>
        </w:tc>
        <w:tc>
          <w:tcPr>
            <w:tcW w:w="328" w:type="dxa"/>
            <w:shd w:val="clear" w:color="auto" w:fill="auto"/>
            <w:vAlign w:val="center"/>
          </w:tcPr>
          <w:p>
            <w:pPr>
              <w:jc w:val="right"/>
              <w:rPr>
                <w:rFonts w:hint="default" w:ascii="宋体" w:hAnsi="宋体"/>
                <w:b/>
                <w:sz w:val="18"/>
                <w:szCs w:val="18"/>
                <w:highlight w:val="none"/>
              </w:rPr>
            </w:pPr>
          </w:p>
        </w:tc>
        <w:tc>
          <w:tcPr>
            <w:tcW w:w="1442" w:type="dxa"/>
            <w:gridSpan w:val="2"/>
            <w:shd w:val="clear" w:color="auto" w:fill="auto"/>
            <w:vAlign w:val="center"/>
          </w:tcPr>
          <w:p>
            <w:pPr>
              <w:jc w:val="right"/>
              <w:rPr>
                <w:rFonts w:hint="default" w:ascii="宋体" w:hAnsi="宋体"/>
                <w:b/>
                <w:sz w:val="18"/>
                <w:szCs w:val="18"/>
                <w:highlight w:val="none"/>
              </w:rPr>
            </w:pPr>
          </w:p>
        </w:tc>
        <w:tc>
          <w:tcPr>
            <w:tcW w:w="885" w:type="dxa"/>
            <w:shd w:val="clear" w:color="auto" w:fill="auto"/>
            <w:vAlign w:val="center"/>
          </w:tcPr>
          <w:p>
            <w:pPr>
              <w:jc w:val="right"/>
              <w:rPr>
                <w:rFonts w:hint="default" w:ascii="宋体" w:hAnsi="宋体"/>
                <w:b/>
                <w:sz w:val="18"/>
                <w:szCs w:val="18"/>
                <w:highlight w:val="none"/>
              </w:rPr>
            </w:pPr>
          </w:p>
        </w:tc>
        <w:tc>
          <w:tcPr>
            <w:tcW w:w="918"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eastAsia" w:ascii="宋体" w:hAnsi="宋体"/>
                <w:b/>
                <w:color w:val="000000"/>
                <w:sz w:val="18"/>
                <w:szCs w:val="18"/>
                <w:highlight w:val="none"/>
              </w:rPr>
            </w:pPr>
            <w:r>
              <w:rPr>
                <w:rFonts w:hint="eastAsia" w:ascii="宋体" w:hAnsi="宋体"/>
                <w:b/>
                <w:color w:val="000000"/>
                <w:sz w:val="15"/>
                <w:szCs w:val="15"/>
                <w:highlight w:val="none"/>
              </w:rPr>
              <w:t>0.68</w:t>
            </w:r>
          </w:p>
        </w:tc>
        <w:tc>
          <w:tcPr>
            <w:tcW w:w="876"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229</w:t>
            </w:r>
          </w:p>
        </w:tc>
        <w:tc>
          <w:tcPr>
            <w:tcW w:w="256"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60</w:t>
            </w:r>
          </w:p>
        </w:tc>
        <w:tc>
          <w:tcPr>
            <w:tcW w:w="247" w:type="dxa"/>
            <w:shd w:val="clear" w:color="auto" w:fill="auto"/>
            <w:vAlign w:val="center"/>
          </w:tcPr>
          <w:p>
            <w:pPr>
              <w:jc w:val="center"/>
              <w:rPr>
                <w:rFonts w:hint="default" w:ascii="宋体" w:hAnsi="宋体"/>
                <w:b/>
                <w:sz w:val="18"/>
                <w:szCs w:val="18"/>
                <w:highlight w:val="none"/>
              </w:rPr>
            </w:pPr>
          </w:p>
        </w:tc>
        <w:tc>
          <w:tcPr>
            <w:tcW w:w="2433"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5"/>
                <w:szCs w:val="15"/>
                <w:highlight w:val="none"/>
              </w:rPr>
              <w:t xml:space="preserve">  彩票公益金安排的支出</w:t>
            </w:r>
          </w:p>
        </w:tc>
        <w:tc>
          <w:tcPr>
            <w:tcW w:w="1070"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0.68</w:t>
            </w:r>
          </w:p>
        </w:tc>
        <w:tc>
          <w:tcPr>
            <w:tcW w:w="1128" w:type="dxa"/>
            <w:shd w:val="clear" w:color="auto" w:fill="auto"/>
            <w:vAlign w:val="center"/>
          </w:tcPr>
          <w:p>
            <w:pPr>
              <w:jc w:val="right"/>
              <w:rPr>
                <w:rFonts w:hint="default" w:ascii="宋体" w:hAnsi="宋体"/>
                <w:b/>
                <w:sz w:val="18"/>
                <w:szCs w:val="18"/>
                <w:highlight w:val="none"/>
              </w:rPr>
            </w:pPr>
          </w:p>
        </w:tc>
        <w:tc>
          <w:tcPr>
            <w:tcW w:w="1082" w:type="dxa"/>
            <w:shd w:val="clear" w:color="auto" w:fill="auto"/>
            <w:vAlign w:val="center"/>
          </w:tcPr>
          <w:p>
            <w:pPr>
              <w:jc w:val="right"/>
              <w:rPr>
                <w:rFonts w:hint="default" w:ascii="宋体" w:hAnsi="宋体"/>
                <w:b/>
                <w:sz w:val="18"/>
                <w:szCs w:val="18"/>
                <w:highlight w:val="none"/>
              </w:rPr>
            </w:pPr>
          </w:p>
        </w:tc>
        <w:tc>
          <w:tcPr>
            <w:tcW w:w="1082" w:type="dxa"/>
            <w:shd w:val="clear" w:color="auto" w:fill="auto"/>
            <w:vAlign w:val="center"/>
          </w:tcPr>
          <w:p>
            <w:pPr>
              <w:jc w:val="right"/>
              <w:rPr>
                <w:rFonts w:hint="default" w:ascii="宋体" w:hAnsi="宋体"/>
                <w:b/>
                <w:sz w:val="15"/>
                <w:szCs w:val="15"/>
                <w:highlight w:val="none"/>
              </w:rPr>
            </w:pPr>
          </w:p>
        </w:tc>
        <w:tc>
          <w:tcPr>
            <w:tcW w:w="328" w:type="dxa"/>
            <w:shd w:val="clear" w:color="auto" w:fill="auto"/>
            <w:vAlign w:val="center"/>
          </w:tcPr>
          <w:p>
            <w:pPr>
              <w:jc w:val="right"/>
              <w:rPr>
                <w:rFonts w:hint="default" w:ascii="宋体" w:hAnsi="宋体"/>
                <w:b/>
                <w:sz w:val="18"/>
                <w:szCs w:val="18"/>
                <w:highlight w:val="none"/>
              </w:rPr>
            </w:pPr>
          </w:p>
        </w:tc>
        <w:tc>
          <w:tcPr>
            <w:tcW w:w="1442" w:type="dxa"/>
            <w:gridSpan w:val="2"/>
            <w:shd w:val="clear" w:color="auto" w:fill="auto"/>
            <w:vAlign w:val="center"/>
          </w:tcPr>
          <w:p>
            <w:pPr>
              <w:jc w:val="right"/>
              <w:rPr>
                <w:rFonts w:hint="default" w:ascii="宋体" w:hAnsi="宋体"/>
                <w:b/>
                <w:sz w:val="18"/>
                <w:szCs w:val="18"/>
                <w:highlight w:val="none"/>
              </w:rPr>
            </w:pPr>
          </w:p>
        </w:tc>
        <w:tc>
          <w:tcPr>
            <w:tcW w:w="885" w:type="dxa"/>
            <w:shd w:val="clear" w:color="auto" w:fill="auto"/>
            <w:vAlign w:val="center"/>
          </w:tcPr>
          <w:p>
            <w:pPr>
              <w:jc w:val="right"/>
              <w:rPr>
                <w:rFonts w:hint="default" w:ascii="宋体" w:hAnsi="宋体"/>
                <w:b/>
                <w:sz w:val="18"/>
                <w:szCs w:val="18"/>
                <w:highlight w:val="none"/>
              </w:rPr>
            </w:pPr>
          </w:p>
        </w:tc>
        <w:tc>
          <w:tcPr>
            <w:tcW w:w="918"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eastAsia" w:ascii="宋体" w:hAnsi="宋体"/>
                <w:b/>
                <w:color w:val="000000"/>
                <w:sz w:val="18"/>
                <w:szCs w:val="18"/>
                <w:highlight w:val="none"/>
              </w:rPr>
            </w:pPr>
            <w:r>
              <w:rPr>
                <w:rFonts w:hint="eastAsia" w:ascii="宋体" w:hAnsi="宋体"/>
                <w:b/>
                <w:color w:val="000000"/>
                <w:sz w:val="15"/>
                <w:szCs w:val="15"/>
                <w:highlight w:val="none"/>
              </w:rPr>
              <w:t>0.68</w:t>
            </w:r>
          </w:p>
        </w:tc>
        <w:tc>
          <w:tcPr>
            <w:tcW w:w="876"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229</w:t>
            </w:r>
          </w:p>
        </w:tc>
        <w:tc>
          <w:tcPr>
            <w:tcW w:w="256"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60</w:t>
            </w:r>
          </w:p>
        </w:tc>
        <w:tc>
          <w:tcPr>
            <w:tcW w:w="24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13</w:t>
            </w:r>
          </w:p>
        </w:tc>
        <w:tc>
          <w:tcPr>
            <w:tcW w:w="2433"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5"/>
                <w:szCs w:val="15"/>
                <w:highlight w:val="none"/>
              </w:rPr>
              <w:t xml:space="preserve">    用于城乡医疗救助的彩票公益金支出</w:t>
            </w:r>
          </w:p>
        </w:tc>
        <w:tc>
          <w:tcPr>
            <w:tcW w:w="1070"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0.68</w:t>
            </w:r>
          </w:p>
        </w:tc>
        <w:tc>
          <w:tcPr>
            <w:tcW w:w="1128" w:type="dxa"/>
            <w:shd w:val="clear" w:color="auto" w:fill="auto"/>
            <w:vAlign w:val="center"/>
          </w:tcPr>
          <w:p>
            <w:pPr>
              <w:jc w:val="right"/>
              <w:rPr>
                <w:rFonts w:hint="default" w:ascii="宋体" w:hAnsi="宋体"/>
                <w:sz w:val="18"/>
                <w:szCs w:val="18"/>
                <w:highlight w:val="none"/>
              </w:rPr>
            </w:pPr>
          </w:p>
        </w:tc>
        <w:tc>
          <w:tcPr>
            <w:tcW w:w="1082" w:type="dxa"/>
            <w:shd w:val="clear" w:color="auto" w:fill="auto"/>
            <w:vAlign w:val="center"/>
          </w:tcPr>
          <w:p>
            <w:pPr>
              <w:jc w:val="right"/>
              <w:rPr>
                <w:rFonts w:hint="default" w:ascii="宋体" w:hAnsi="宋体"/>
                <w:sz w:val="18"/>
                <w:szCs w:val="18"/>
                <w:highlight w:val="none"/>
              </w:rPr>
            </w:pPr>
          </w:p>
        </w:tc>
        <w:tc>
          <w:tcPr>
            <w:tcW w:w="1082" w:type="dxa"/>
            <w:shd w:val="clear" w:color="auto" w:fill="auto"/>
            <w:vAlign w:val="center"/>
          </w:tcPr>
          <w:p>
            <w:pPr>
              <w:jc w:val="right"/>
              <w:rPr>
                <w:rFonts w:hint="default" w:ascii="宋体" w:hAnsi="宋体"/>
                <w:sz w:val="15"/>
                <w:szCs w:val="15"/>
                <w:highlight w:val="none"/>
              </w:rPr>
            </w:pPr>
          </w:p>
        </w:tc>
        <w:tc>
          <w:tcPr>
            <w:tcW w:w="328" w:type="dxa"/>
            <w:shd w:val="clear" w:color="auto" w:fill="auto"/>
            <w:vAlign w:val="center"/>
          </w:tcPr>
          <w:p>
            <w:pPr>
              <w:jc w:val="right"/>
              <w:rPr>
                <w:rFonts w:hint="default" w:ascii="宋体" w:hAnsi="宋体"/>
                <w:sz w:val="18"/>
                <w:szCs w:val="18"/>
                <w:highlight w:val="none"/>
              </w:rPr>
            </w:pPr>
          </w:p>
        </w:tc>
        <w:tc>
          <w:tcPr>
            <w:tcW w:w="1442" w:type="dxa"/>
            <w:gridSpan w:val="2"/>
            <w:shd w:val="clear" w:color="auto" w:fill="auto"/>
            <w:vAlign w:val="center"/>
          </w:tcPr>
          <w:p>
            <w:pPr>
              <w:jc w:val="right"/>
              <w:rPr>
                <w:rFonts w:hint="default" w:ascii="宋体" w:hAnsi="宋体"/>
                <w:sz w:val="18"/>
                <w:szCs w:val="18"/>
                <w:highlight w:val="none"/>
              </w:rPr>
            </w:pPr>
          </w:p>
        </w:tc>
        <w:tc>
          <w:tcPr>
            <w:tcW w:w="885" w:type="dxa"/>
            <w:shd w:val="clear" w:color="auto" w:fill="auto"/>
            <w:vAlign w:val="center"/>
          </w:tcPr>
          <w:p>
            <w:pPr>
              <w:jc w:val="right"/>
              <w:rPr>
                <w:rFonts w:hint="default" w:ascii="宋体" w:hAnsi="宋体"/>
                <w:sz w:val="18"/>
                <w:szCs w:val="18"/>
                <w:highlight w:val="none"/>
              </w:rPr>
            </w:pPr>
          </w:p>
        </w:tc>
        <w:tc>
          <w:tcPr>
            <w:tcW w:w="918"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r>
              <w:rPr>
                <w:rFonts w:hint="eastAsia" w:ascii="宋体" w:hAnsi="宋体"/>
                <w:color w:val="000000"/>
                <w:sz w:val="15"/>
                <w:szCs w:val="15"/>
                <w:highlight w:val="none"/>
              </w:rPr>
              <w:t>0.68</w:t>
            </w:r>
          </w:p>
        </w:tc>
        <w:tc>
          <w:tcPr>
            <w:tcW w:w="876" w:type="dxa"/>
            <w:shd w:val="clear" w:color="auto" w:fill="auto"/>
            <w:vAlign w:val="center"/>
          </w:tcPr>
          <w:p>
            <w:pPr>
              <w:jc w:val="right"/>
              <w:rPr>
                <w:rFonts w:hint="eastAsia" w:ascii="宋体" w:hAnsi="宋体"/>
                <w:color w:val="000000"/>
                <w:sz w:val="18"/>
                <w:szCs w:val="18"/>
                <w:highlight w:val="none"/>
              </w:rPr>
            </w:pPr>
          </w:p>
        </w:tc>
      </w:tr>
    </w:tbl>
    <w:p>
      <w:pPr>
        <w:widowControl/>
        <w:jc w:val="left"/>
        <w:rPr>
          <w:rFonts w:hint="default" w:ascii="仿宋" w:eastAsia="仿宋"/>
          <w:b/>
          <w:color w:val="000000"/>
          <w:szCs w:val="21"/>
          <w:highlight w:val="none"/>
        </w:rPr>
        <w:sectPr>
          <w:pgSz w:w="16838" w:h="11906" w:orient="landscape"/>
          <w:pgMar w:top="1134" w:right="1134" w:bottom="1134" w:left="1134" w:header="851" w:footer="992" w:gutter="0"/>
          <w:cols w:space="425" w:num="1"/>
          <w:docGrid w:type="lines" w:linePitch="312" w:charSpace="0"/>
        </w:sectPr>
      </w:pPr>
    </w:p>
    <w:p>
      <w:pPr>
        <w:jc w:val="left"/>
        <w:rPr>
          <w:rFonts w:hint="default" w:ascii="宋体" w:hAnsi="宋体"/>
          <w:color w:val="000000"/>
          <w:sz w:val="18"/>
          <w:szCs w:val="18"/>
          <w:highlight w:val="none"/>
        </w:rPr>
      </w:pPr>
      <w:r>
        <w:rPr>
          <w:rFonts w:hint="eastAsia" w:ascii="宋体" w:hAnsi="宋体"/>
          <w:color w:val="000000"/>
          <w:sz w:val="18"/>
          <w:szCs w:val="18"/>
          <w:highlight w:val="none"/>
        </w:rPr>
        <w:t>表3</w:t>
      </w:r>
    </w:p>
    <w:p>
      <w:pPr>
        <w:jc w:val="center"/>
        <w:rPr>
          <w:rFonts w:hint="default" w:ascii="仿宋" w:hAnsi="宋体" w:eastAsia="仿宋"/>
          <w:b/>
          <w:color w:val="000000"/>
          <w:sz w:val="28"/>
          <w:szCs w:val="28"/>
          <w:highlight w:val="none"/>
        </w:rPr>
      </w:pPr>
      <w:r>
        <w:rPr>
          <w:rFonts w:hint="eastAsia" w:ascii="仿宋" w:hAnsi="宋体" w:eastAsia="仿宋"/>
          <w:b/>
          <w:color w:val="000000"/>
          <w:sz w:val="28"/>
          <w:szCs w:val="28"/>
          <w:highlight w:val="none"/>
        </w:rPr>
        <w:t>部门支出总体情况表</w:t>
      </w:r>
    </w:p>
    <w:tbl>
      <w:tblPr>
        <w:tblStyle w:val="7"/>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534"/>
        <w:gridCol w:w="567"/>
        <w:gridCol w:w="567"/>
        <w:gridCol w:w="4169"/>
        <w:gridCol w:w="1306"/>
        <w:gridCol w:w="1032"/>
        <w:gridCol w:w="274"/>
        <w:gridCol w:w="14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00" w:hRule="atLeast"/>
          <w:tblHeader/>
        </w:trPr>
        <w:tc>
          <w:tcPr>
            <w:tcW w:w="8175" w:type="dxa"/>
            <w:gridSpan w:val="6"/>
            <w:tcBorders>
              <w:top w:val="nil"/>
              <w:left w:val="nil"/>
              <w:right w:val="nil"/>
            </w:tcBorders>
            <w:shd w:val="clear" w:color="auto" w:fill="auto"/>
            <w:vAlign w:val="center"/>
          </w:tcPr>
          <w:p>
            <w:pPr>
              <w:jc w:val="left"/>
              <w:rPr>
                <w:sz w:val="18"/>
                <w:szCs w:val="18"/>
                <w:highlight w:val="none"/>
              </w:rPr>
            </w:pPr>
            <w:r>
              <w:rPr>
                <w:rFonts w:hint="eastAsia"/>
                <w:color w:val="000000"/>
                <w:sz w:val="18"/>
                <w:szCs w:val="18"/>
                <w:highlight w:val="none"/>
              </w:rPr>
              <w:t>编制部门：皮山县木奎拉乡卫生院</w:t>
            </w:r>
          </w:p>
        </w:tc>
        <w:tc>
          <w:tcPr>
            <w:tcW w:w="1679" w:type="dxa"/>
            <w:gridSpan w:val="2"/>
            <w:tcBorders>
              <w:top w:val="nil"/>
              <w:left w:val="nil"/>
              <w:right w:val="nil"/>
            </w:tcBorders>
            <w:shd w:val="clear" w:color="auto" w:fill="auto"/>
            <w:vAlign w:val="center"/>
          </w:tcPr>
          <w:p>
            <w:pPr>
              <w:jc w:val="right"/>
              <w:rPr>
                <w:sz w:val="18"/>
                <w:szCs w:val="18"/>
                <w:highlight w:val="none"/>
              </w:rPr>
            </w:pPr>
            <w:r>
              <w:rPr>
                <w:rFonts w:hint="eastAsia"/>
                <w:color w:val="000000"/>
                <w:sz w:val="18"/>
                <w:szCs w:val="18"/>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00" w:hRule="atLeast"/>
          <w:tblHeader/>
        </w:trPr>
        <w:tc>
          <w:tcPr>
            <w:tcW w:w="5837" w:type="dxa"/>
            <w:gridSpan w:val="4"/>
            <w:shd w:val="clear" w:color="auto" w:fill="auto"/>
            <w:vAlign w:val="center"/>
          </w:tcPr>
          <w:p>
            <w:pPr>
              <w:jc w:val="center"/>
              <w:rPr>
                <w:sz w:val="18"/>
                <w:szCs w:val="18"/>
                <w:highlight w:val="none"/>
              </w:rPr>
            </w:pPr>
            <w:r>
              <w:rPr>
                <w:rFonts w:hint="eastAsia"/>
                <w:sz w:val="18"/>
                <w:szCs w:val="18"/>
                <w:highlight w:val="none"/>
              </w:rPr>
              <w:t>科目</w:t>
            </w:r>
          </w:p>
        </w:tc>
        <w:tc>
          <w:tcPr>
            <w:tcW w:w="4017" w:type="dxa"/>
            <w:gridSpan w:val="4"/>
            <w:shd w:val="clear" w:color="auto" w:fill="auto"/>
            <w:vAlign w:val="center"/>
          </w:tcPr>
          <w:p>
            <w:pPr>
              <w:jc w:val="center"/>
              <w:rPr>
                <w:sz w:val="18"/>
                <w:szCs w:val="18"/>
                <w:highlight w:val="none"/>
              </w:rPr>
            </w:pPr>
            <w:r>
              <w:rPr>
                <w:rFonts w:hint="eastAsia"/>
                <w:sz w:val="18"/>
                <w:szCs w:val="18"/>
                <w:highlight w:val="none"/>
              </w:rPr>
              <w:t>支出预算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04" w:hRule="atLeast"/>
          <w:tblHeader/>
        </w:trPr>
        <w:tc>
          <w:tcPr>
            <w:tcW w:w="1668" w:type="dxa"/>
            <w:gridSpan w:val="3"/>
            <w:shd w:val="clear" w:color="auto" w:fill="auto"/>
            <w:vAlign w:val="center"/>
          </w:tcPr>
          <w:p>
            <w:pPr>
              <w:jc w:val="center"/>
              <w:rPr>
                <w:sz w:val="18"/>
                <w:szCs w:val="18"/>
                <w:highlight w:val="none"/>
              </w:rPr>
            </w:pPr>
            <w:r>
              <w:rPr>
                <w:rFonts w:hint="eastAsia"/>
                <w:sz w:val="18"/>
                <w:szCs w:val="18"/>
                <w:highlight w:val="none"/>
              </w:rPr>
              <w:t>功能分类科目编码</w:t>
            </w:r>
          </w:p>
        </w:tc>
        <w:tc>
          <w:tcPr>
            <w:tcW w:w="4169" w:type="dxa"/>
            <w:vMerge w:val="restart"/>
            <w:shd w:val="clear" w:color="auto" w:fill="auto"/>
            <w:vAlign w:val="center"/>
          </w:tcPr>
          <w:p>
            <w:pPr>
              <w:jc w:val="center"/>
              <w:rPr>
                <w:sz w:val="18"/>
                <w:szCs w:val="18"/>
                <w:highlight w:val="none"/>
              </w:rPr>
            </w:pPr>
            <w:r>
              <w:rPr>
                <w:rFonts w:hint="eastAsia"/>
                <w:sz w:val="18"/>
                <w:szCs w:val="18"/>
                <w:highlight w:val="none"/>
              </w:rPr>
              <w:t>功能分类科目名称</w:t>
            </w:r>
          </w:p>
        </w:tc>
        <w:tc>
          <w:tcPr>
            <w:tcW w:w="1306" w:type="dxa"/>
            <w:vMerge w:val="restart"/>
            <w:shd w:val="clear" w:color="auto" w:fill="auto"/>
            <w:vAlign w:val="center"/>
          </w:tcPr>
          <w:p>
            <w:pPr>
              <w:jc w:val="center"/>
              <w:rPr>
                <w:sz w:val="18"/>
                <w:szCs w:val="18"/>
                <w:highlight w:val="none"/>
              </w:rPr>
            </w:pPr>
            <w:r>
              <w:rPr>
                <w:rFonts w:hint="eastAsia"/>
                <w:sz w:val="18"/>
                <w:szCs w:val="18"/>
                <w:highlight w:val="none"/>
              </w:rPr>
              <w:t>合计</w:t>
            </w:r>
          </w:p>
        </w:tc>
        <w:tc>
          <w:tcPr>
            <w:tcW w:w="1306" w:type="dxa"/>
            <w:gridSpan w:val="2"/>
            <w:vMerge w:val="restart"/>
            <w:shd w:val="clear" w:color="auto" w:fill="auto"/>
            <w:vAlign w:val="center"/>
          </w:tcPr>
          <w:p>
            <w:pPr>
              <w:jc w:val="center"/>
              <w:rPr>
                <w:sz w:val="18"/>
                <w:szCs w:val="18"/>
                <w:highlight w:val="none"/>
              </w:rPr>
            </w:pPr>
            <w:r>
              <w:rPr>
                <w:rFonts w:hint="eastAsia"/>
                <w:sz w:val="18"/>
                <w:szCs w:val="18"/>
                <w:highlight w:val="none"/>
              </w:rPr>
              <w:t>基本支出</w:t>
            </w:r>
          </w:p>
        </w:tc>
        <w:tc>
          <w:tcPr>
            <w:tcW w:w="1405" w:type="dxa"/>
            <w:vMerge w:val="restart"/>
            <w:shd w:val="clear" w:color="auto" w:fill="auto"/>
            <w:vAlign w:val="center"/>
          </w:tcPr>
          <w:p>
            <w:pPr>
              <w:jc w:val="center"/>
              <w:rPr>
                <w:sz w:val="18"/>
                <w:szCs w:val="18"/>
                <w:highlight w:val="none"/>
              </w:rPr>
            </w:pPr>
            <w:r>
              <w:rPr>
                <w:rFonts w:hint="eastAsia"/>
                <w:sz w:val="18"/>
                <w:szCs w:val="18"/>
                <w:highlight w:val="none"/>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tblHeader/>
        </w:trPr>
        <w:tc>
          <w:tcPr>
            <w:tcW w:w="534" w:type="dxa"/>
            <w:shd w:val="clear" w:color="auto" w:fill="auto"/>
            <w:vAlign w:val="center"/>
          </w:tcPr>
          <w:p>
            <w:pPr>
              <w:jc w:val="center"/>
              <w:rPr>
                <w:sz w:val="18"/>
                <w:szCs w:val="18"/>
                <w:highlight w:val="none"/>
              </w:rPr>
            </w:pPr>
            <w:r>
              <w:rPr>
                <w:rFonts w:hint="eastAsia"/>
                <w:sz w:val="18"/>
                <w:szCs w:val="18"/>
                <w:highlight w:val="none"/>
              </w:rPr>
              <w:t>类</w:t>
            </w:r>
          </w:p>
        </w:tc>
        <w:tc>
          <w:tcPr>
            <w:tcW w:w="567" w:type="dxa"/>
            <w:shd w:val="clear" w:color="auto" w:fill="auto"/>
            <w:vAlign w:val="center"/>
          </w:tcPr>
          <w:p>
            <w:pPr>
              <w:jc w:val="center"/>
              <w:rPr>
                <w:sz w:val="18"/>
                <w:szCs w:val="18"/>
                <w:highlight w:val="none"/>
              </w:rPr>
            </w:pPr>
            <w:r>
              <w:rPr>
                <w:rFonts w:hint="eastAsia"/>
                <w:sz w:val="18"/>
                <w:szCs w:val="18"/>
                <w:highlight w:val="none"/>
              </w:rPr>
              <w:t>款</w:t>
            </w:r>
          </w:p>
        </w:tc>
        <w:tc>
          <w:tcPr>
            <w:tcW w:w="567" w:type="dxa"/>
            <w:shd w:val="clear" w:color="auto" w:fill="auto"/>
            <w:vAlign w:val="center"/>
          </w:tcPr>
          <w:p>
            <w:pPr>
              <w:jc w:val="center"/>
              <w:rPr>
                <w:sz w:val="18"/>
                <w:szCs w:val="18"/>
                <w:highlight w:val="none"/>
              </w:rPr>
            </w:pPr>
            <w:r>
              <w:rPr>
                <w:rFonts w:hint="eastAsia"/>
                <w:sz w:val="18"/>
                <w:szCs w:val="18"/>
                <w:highlight w:val="none"/>
              </w:rPr>
              <w:t>项</w:t>
            </w:r>
          </w:p>
        </w:tc>
        <w:tc>
          <w:tcPr>
            <w:tcW w:w="4169" w:type="dxa"/>
            <w:vMerge w:val="continue"/>
            <w:shd w:val="clear" w:color="auto" w:fill="auto"/>
            <w:vAlign w:val="center"/>
          </w:tcPr>
          <w:p>
            <w:pPr>
              <w:jc w:val="center"/>
              <w:rPr>
                <w:sz w:val="18"/>
                <w:szCs w:val="18"/>
                <w:highlight w:val="none"/>
              </w:rPr>
            </w:pPr>
          </w:p>
        </w:tc>
        <w:tc>
          <w:tcPr>
            <w:tcW w:w="1306" w:type="dxa"/>
            <w:vMerge w:val="continue"/>
            <w:shd w:val="clear" w:color="auto" w:fill="auto"/>
            <w:vAlign w:val="center"/>
          </w:tcPr>
          <w:p>
            <w:pPr>
              <w:jc w:val="center"/>
              <w:rPr>
                <w:sz w:val="18"/>
                <w:szCs w:val="18"/>
                <w:highlight w:val="none"/>
              </w:rPr>
            </w:pPr>
          </w:p>
        </w:tc>
        <w:tc>
          <w:tcPr>
            <w:tcW w:w="1306" w:type="dxa"/>
            <w:gridSpan w:val="2"/>
            <w:vMerge w:val="continue"/>
            <w:shd w:val="clear" w:color="auto" w:fill="auto"/>
            <w:vAlign w:val="center"/>
          </w:tcPr>
          <w:p>
            <w:pPr>
              <w:jc w:val="center"/>
              <w:rPr>
                <w:sz w:val="18"/>
                <w:szCs w:val="18"/>
                <w:highlight w:val="none"/>
              </w:rPr>
            </w:pPr>
          </w:p>
        </w:tc>
        <w:tc>
          <w:tcPr>
            <w:tcW w:w="1405" w:type="dxa"/>
            <w:vMerge w:val="continue"/>
            <w:shd w:val="clear" w:color="auto" w:fill="auto"/>
            <w:vAlign w:val="center"/>
          </w:tcPr>
          <w:p>
            <w:pPr>
              <w:jc w:val="center"/>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14" w:hRule="atLeast"/>
          <w:tblHeader/>
        </w:trPr>
        <w:tc>
          <w:tcPr>
            <w:tcW w:w="534"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567"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567"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4169"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1306" w:type="dxa"/>
            <w:shd w:val="clear" w:color="auto" w:fill="auto"/>
            <w:vAlign w:val="center"/>
          </w:tcPr>
          <w:p>
            <w:pPr>
              <w:jc w:val="center"/>
              <w:rPr>
                <w:sz w:val="18"/>
                <w:szCs w:val="18"/>
                <w:highlight w:val="none"/>
              </w:rPr>
            </w:pPr>
            <w:r>
              <w:rPr>
                <w:rFonts w:hint="eastAsia"/>
                <w:sz w:val="18"/>
                <w:szCs w:val="18"/>
                <w:highlight w:val="none"/>
              </w:rPr>
              <w:t>1</w:t>
            </w:r>
          </w:p>
        </w:tc>
        <w:tc>
          <w:tcPr>
            <w:tcW w:w="1306" w:type="dxa"/>
            <w:gridSpan w:val="2"/>
            <w:shd w:val="clear" w:color="auto" w:fill="auto"/>
            <w:vAlign w:val="center"/>
          </w:tcPr>
          <w:p>
            <w:pPr>
              <w:jc w:val="center"/>
              <w:rPr>
                <w:sz w:val="18"/>
                <w:szCs w:val="18"/>
                <w:highlight w:val="none"/>
              </w:rPr>
            </w:pPr>
            <w:r>
              <w:rPr>
                <w:rFonts w:hint="eastAsia"/>
                <w:sz w:val="18"/>
                <w:szCs w:val="18"/>
                <w:highlight w:val="none"/>
              </w:rPr>
              <w:t>2</w:t>
            </w:r>
          </w:p>
        </w:tc>
        <w:tc>
          <w:tcPr>
            <w:tcW w:w="1405" w:type="dxa"/>
            <w:shd w:val="clear" w:color="auto" w:fill="auto"/>
            <w:vAlign w:val="center"/>
          </w:tcPr>
          <w:p>
            <w:pPr>
              <w:jc w:val="center"/>
              <w:rPr>
                <w:sz w:val="18"/>
                <w:szCs w:val="18"/>
                <w:highlight w:val="none"/>
              </w:rPr>
            </w:pPr>
            <w:r>
              <w:rPr>
                <w:rFonts w:hint="eastAsia"/>
                <w:sz w:val="18"/>
                <w:szCs w:val="18"/>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highlight w:val="none"/>
              </w:rPr>
            </w:pPr>
          </w:p>
        </w:tc>
        <w:tc>
          <w:tcPr>
            <w:tcW w:w="567" w:type="dxa"/>
            <w:shd w:val="clear" w:color="auto" w:fill="auto"/>
            <w:vAlign w:val="center"/>
          </w:tcPr>
          <w:p>
            <w:pPr>
              <w:jc w:val="center"/>
              <w:rPr>
                <w:rFonts w:hint="default" w:ascii="宋体" w:hAnsi="宋体"/>
                <w:b/>
                <w:sz w:val="18"/>
                <w:szCs w:val="18"/>
                <w:highlight w:val="none"/>
              </w:rPr>
            </w:pPr>
          </w:p>
        </w:tc>
        <w:tc>
          <w:tcPr>
            <w:tcW w:w="567" w:type="dxa"/>
            <w:shd w:val="clear" w:color="auto" w:fill="auto"/>
            <w:vAlign w:val="center"/>
          </w:tcPr>
          <w:p>
            <w:pPr>
              <w:jc w:val="center"/>
              <w:rPr>
                <w:rFonts w:hint="default" w:ascii="宋体" w:hAnsi="宋体"/>
                <w:b/>
                <w:sz w:val="18"/>
                <w:szCs w:val="18"/>
                <w:highlight w:val="none"/>
              </w:rPr>
            </w:pPr>
          </w:p>
        </w:tc>
        <w:tc>
          <w:tcPr>
            <w:tcW w:w="4169"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总计</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1,799.54</w:t>
            </w:r>
          </w:p>
        </w:tc>
        <w:tc>
          <w:tcPr>
            <w:tcW w:w="130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607.40</w:t>
            </w:r>
          </w:p>
        </w:tc>
        <w:tc>
          <w:tcPr>
            <w:tcW w:w="1405"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1,192.14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208</w:t>
            </w:r>
          </w:p>
        </w:tc>
        <w:tc>
          <w:tcPr>
            <w:tcW w:w="567" w:type="dxa"/>
            <w:shd w:val="clear" w:color="auto" w:fill="auto"/>
            <w:vAlign w:val="center"/>
          </w:tcPr>
          <w:p>
            <w:pPr>
              <w:jc w:val="center"/>
              <w:rPr>
                <w:rFonts w:hint="default" w:ascii="宋体" w:hAnsi="宋体"/>
                <w:b/>
                <w:sz w:val="18"/>
                <w:szCs w:val="18"/>
                <w:highlight w:val="none"/>
              </w:rPr>
            </w:pPr>
          </w:p>
        </w:tc>
        <w:tc>
          <w:tcPr>
            <w:tcW w:w="567" w:type="dxa"/>
            <w:shd w:val="clear" w:color="auto" w:fill="auto"/>
            <w:vAlign w:val="center"/>
          </w:tcPr>
          <w:p>
            <w:pPr>
              <w:jc w:val="center"/>
              <w:rPr>
                <w:rFonts w:hint="default" w:ascii="宋体" w:hAnsi="宋体"/>
                <w:b/>
                <w:sz w:val="18"/>
                <w:szCs w:val="18"/>
                <w:highlight w:val="none"/>
              </w:rPr>
            </w:pPr>
          </w:p>
        </w:tc>
        <w:tc>
          <w:tcPr>
            <w:tcW w:w="4169"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8"/>
                <w:szCs w:val="18"/>
                <w:highlight w:val="none"/>
              </w:rPr>
              <w:t>社会保障和就业支出</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77.45</w:t>
            </w:r>
          </w:p>
        </w:tc>
        <w:tc>
          <w:tcPr>
            <w:tcW w:w="130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77.45</w:t>
            </w:r>
          </w:p>
        </w:tc>
        <w:tc>
          <w:tcPr>
            <w:tcW w:w="1405"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208</w:t>
            </w:r>
          </w:p>
        </w:tc>
        <w:tc>
          <w:tcPr>
            <w:tcW w:w="567"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05</w:t>
            </w:r>
          </w:p>
        </w:tc>
        <w:tc>
          <w:tcPr>
            <w:tcW w:w="567" w:type="dxa"/>
            <w:shd w:val="clear" w:color="auto" w:fill="auto"/>
            <w:vAlign w:val="center"/>
          </w:tcPr>
          <w:p>
            <w:pPr>
              <w:jc w:val="center"/>
              <w:rPr>
                <w:rFonts w:hint="default" w:ascii="宋体" w:hAnsi="宋体"/>
                <w:b/>
                <w:sz w:val="18"/>
                <w:szCs w:val="18"/>
                <w:highlight w:val="none"/>
              </w:rPr>
            </w:pPr>
          </w:p>
        </w:tc>
        <w:tc>
          <w:tcPr>
            <w:tcW w:w="4169"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8"/>
                <w:szCs w:val="18"/>
                <w:highlight w:val="none"/>
              </w:rPr>
              <w:t xml:space="preserve">  行政事业单位养老支出</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77.45</w:t>
            </w:r>
          </w:p>
        </w:tc>
        <w:tc>
          <w:tcPr>
            <w:tcW w:w="130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77.45</w:t>
            </w:r>
          </w:p>
        </w:tc>
        <w:tc>
          <w:tcPr>
            <w:tcW w:w="1405"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208</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05</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02</w:t>
            </w:r>
          </w:p>
        </w:tc>
        <w:tc>
          <w:tcPr>
            <w:tcW w:w="4169"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8"/>
                <w:szCs w:val="18"/>
                <w:highlight w:val="none"/>
              </w:rPr>
              <w:t xml:space="preserve">    事业单位离退休</w:t>
            </w:r>
          </w:p>
        </w:tc>
        <w:tc>
          <w:tcPr>
            <w:tcW w:w="1306" w:type="dxa"/>
            <w:shd w:val="clear" w:color="auto" w:fill="auto"/>
            <w:vAlign w:val="center"/>
          </w:tcPr>
          <w:p>
            <w:pPr>
              <w:jc w:val="right"/>
              <w:rPr>
                <w:sz w:val="18"/>
                <w:szCs w:val="18"/>
                <w:highlight w:val="none"/>
              </w:rPr>
            </w:pPr>
            <w:r>
              <w:rPr>
                <w:rFonts w:hint="eastAsia" w:ascii="宋体" w:hAnsi="宋体"/>
                <w:color w:val="000000"/>
                <w:sz w:val="18"/>
                <w:szCs w:val="18"/>
                <w:highlight w:val="none"/>
              </w:rPr>
              <w:t>4.34</w:t>
            </w:r>
          </w:p>
        </w:tc>
        <w:tc>
          <w:tcPr>
            <w:tcW w:w="1306" w:type="dxa"/>
            <w:gridSpan w:val="2"/>
            <w:shd w:val="clear" w:color="auto" w:fill="auto"/>
            <w:vAlign w:val="center"/>
          </w:tcPr>
          <w:p>
            <w:pPr>
              <w:jc w:val="right"/>
              <w:rPr>
                <w:sz w:val="18"/>
                <w:szCs w:val="18"/>
                <w:highlight w:val="none"/>
              </w:rPr>
            </w:pPr>
            <w:r>
              <w:rPr>
                <w:rFonts w:hint="eastAsia" w:ascii="宋体" w:hAnsi="宋体"/>
                <w:color w:val="000000"/>
                <w:sz w:val="18"/>
                <w:szCs w:val="18"/>
                <w:highlight w:val="none"/>
              </w:rPr>
              <w:t>4.34</w:t>
            </w:r>
          </w:p>
        </w:tc>
        <w:tc>
          <w:tcPr>
            <w:tcW w:w="1405"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208</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05</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05</w:t>
            </w:r>
          </w:p>
        </w:tc>
        <w:tc>
          <w:tcPr>
            <w:tcW w:w="4169"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8"/>
                <w:szCs w:val="18"/>
                <w:highlight w:val="none"/>
              </w:rPr>
              <w:t xml:space="preserve">    机关事业单位基本养老保险缴费支出</w:t>
            </w:r>
          </w:p>
        </w:tc>
        <w:tc>
          <w:tcPr>
            <w:tcW w:w="1306" w:type="dxa"/>
            <w:shd w:val="clear" w:color="auto" w:fill="auto"/>
            <w:vAlign w:val="center"/>
          </w:tcPr>
          <w:p>
            <w:pPr>
              <w:jc w:val="right"/>
              <w:rPr>
                <w:sz w:val="18"/>
                <w:szCs w:val="18"/>
                <w:highlight w:val="none"/>
              </w:rPr>
            </w:pPr>
            <w:r>
              <w:rPr>
                <w:rFonts w:hint="eastAsia" w:ascii="宋体" w:hAnsi="宋体"/>
                <w:color w:val="000000"/>
                <w:sz w:val="18"/>
                <w:szCs w:val="18"/>
                <w:highlight w:val="none"/>
              </w:rPr>
              <w:t>63.10</w:t>
            </w:r>
          </w:p>
        </w:tc>
        <w:tc>
          <w:tcPr>
            <w:tcW w:w="1306" w:type="dxa"/>
            <w:gridSpan w:val="2"/>
            <w:shd w:val="clear" w:color="auto" w:fill="auto"/>
            <w:vAlign w:val="center"/>
          </w:tcPr>
          <w:p>
            <w:pPr>
              <w:jc w:val="right"/>
              <w:rPr>
                <w:sz w:val="18"/>
                <w:szCs w:val="18"/>
                <w:highlight w:val="none"/>
              </w:rPr>
            </w:pPr>
            <w:r>
              <w:rPr>
                <w:rFonts w:hint="eastAsia" w:ascii="宋体" w:hAnsi="宋体"/>
                <w:color w:val="000000"/>
                <w:sz w:val="18"/>
                <w:szCs w:val="18"/>
                <w:highlight w:val="none"/>
              </w:rPr>
              <w:t>63.10</w:t>
            </w:r>
          </w:p>
        </w:tc>
        <w:tc>
          <w:tcPr>
            <w:tcW w:w="1405"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208</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05</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06</w:t>
            </w:r>
          </w:p>
        </w:tc>
        <w:tc>
          <w:tcPr>
            <w:tcW w:w="4169"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8"/>
                <w:szCs w:val="18"/>
                <w:highlight w:val="none"/>
              </w:rPr>
              <w:t xml:space="preserve">    机关事业单位职业年金缴费支出</w:t>
            </w:r>
          </w:p>
        </w:tc>
        <w:tc>
          <w:tcPr>
            <w:tcW w:w="1306" w:type="dxa"/>
            <w:shd w:val="clear" w:color="auto" w:fill="auto"/>
            <w:vAlign w:val="center"/>
          </w:tcPr>
          <w:p>
            <w:pPr>
              <w:jc w:val="right"/>
              <w:rPr>
                <w:sz w:val="18"/>
                <w:szCs w:val="18"/>
                <w:highlight w:val="none"/>
              </w:rPr>
            </w:pPr>
            <w:r>
              <w:rPr>
                <w:rFonts w:hint="eastAsia" w:ascii="宋体" w:hAnsi="宋体"/>
                <w:color w:val="000000"/>
                <w:sz w:val="18"/>
                <w:szCs w:val="18"/>
                <w:highlight w:val="none"/>
              </w:rPr>
              <w:t>10.00</w:t>
            </w:r>
          </w:p>
        </w:tc>
        <w:tc>
          <w:tcPr>
            <w:tcW w:w="1306" w:type="dxa"/>
            <w:gridSpan w:val="2"/>
            <w:shd w:val="clear" w:color="auto" w:fill="auto"/>
            <w:vAlign w:val="center"/>
          </w:tcPr>
          <w:p>
            <w:pPr>
              <w:jc w:val="right"/>
              <w:rPr>
                <w:sz w:val="18"/>
                <w:szCs w:val="18"/>
                <w:highlight w:val="none"/>
              </w:rPr>
            </w:pPr>
            <w:r>
              <w:rPr>
                <w:rFonts w:hint="eastAsia" w:ascii="宋体" w:hAnsi="宋体"/>
                <w:color w:val="000000"/>
                <w:sz w:val="18"/>
                <w:szCs w:val="18"/>
                <w:highlight w:val="none"/>
              </w:rPr>
              <w:t>10.00</w:t>
            </w:r>
          </w:p>
        </w:tc>
        <w:tc>
          <w:tcPr>
            <w:tcW w:w="1405"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210</w:t>
            </w:r>
          </w:p>
        </w:tc>
        <w:tc>
          <w:tcPr>
            <w:tcW w:w="567" w:type="dxa"/>
            <w:shd w:val="clear" w:color="auto" w:fill="auto"/>
            <w:vAlign w:val="center"/>
          </w:tcPr>
          <w:p>
            <w:pPr>
              <w:jc w:val="center"/>
              <w:rPr>
                <w:rFonts w:hint="default" w:ascii="宋体" w:hAnsi="宋体"/>
                <w:b/>
                <w:sz w:val="18"/>
                <w:szCs w:val="18"/>
                <w:highlight w:val="none"/>
              </w:rPr>
            </w:pPr>
          </w:p>
        </w:tc>
        <w:tc>
          <w:tcPr>
            <w:tcW w:w="567" w:type="dxa"/>
            <w:shd w:val="clear" w:color="auto" w:fill="auto"/>
            <w:vAlign w:val="center"/>
          </w:tcPr>
          <w:p>
            <w:pPr>
              <w:jc w:val="center"/>
              <w:rPr>
                <w:rFonts w:hint="default" w:ascii="宋体" w:hAnsi="宋体"/>
                <w:b/>
                <w:sz w:val="18"/>
                <w:szCs w:val="18"/>
                <w:highlight w:val="none"/>
              </w:rPr>
            </w:pPr>
          </w:p>
        </w:tc>
        <w:tc>
          <w:tcPr>
            <w:tcW w:w="4169"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8"/>
                <w:szCs w:val="18"/>
                <w:highlight w:val="none"/>
              </w:rPr>
              <w:t>卫生健康支出</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1,674.08</w:t>
            </w:r>
          </w:p>
        </w:tc>
        <w:tc>
          <w:tcPr>
            <w:tcW w:w="130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482.62</w:t>
            </w:r>
          </w:p>
        </w:tc>
        <w:tc>
          <w:tcPr>
            <w:tcW w:w="1405"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1,191.46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210</w:t>
            </w:r>
          </w:p>
        </w:tc>
        <w:tc>
          <w:tcPr>
            <w:tcW w:w="567"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01</w:t>
            </w:r>
          </w:p>
        </w:tc>
        <w:tc>
          <w:tcPr>
            <w:tcW w:w="567" w:type="dxa"/>
            <w:shd w:val="clear" w:color="auto" w:fill="auto"/>
            <w:vAlign w:val="center"/>
          </w:tcPr>
          <w:p>
            <w:pPr>
              <w:jc w:val="center"/>
              <w:rPr>
                <w:rFonts w:hint="default" w:ascii="宋体" w:hAnsi="宋体"/>
                <w:b/>
                <w:sz w:val="18"/>
                <w:szCs w:val="18"/>
                <w:highlight w:val="none"/>
              </w:rPr>
            </w:pPr>
          </w:p>
        </w:tc>
        <w:tc>
          <w:tcPr>
            <w:tcW w:w="4169"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8"/>
                <w:szCs w:val="18"/>
                <w:highlight w:val="none"/>
              </w:rPr>
              <w:t xml:space="preserve">  卫生健康管理事务</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2.84</w:t>
            </w:r>
          </w:p>
        </w:tc>
        <w:tc>
          <w:tcPr>
            <w:tcW w:w="1306" w:type="dxa"/>
            <w:gridSpan w:val="2"/>
            <w:shd w:val="clear" w:color="auto" w:fill="auto"/>
            <w:vAlign w:val="center"/>
          </w:tcPr>
          <w:p>
            <w:pPr>
              <w:jc w:val="right"/>
              <w:rPr>
                <w:b/>
                <w:sz w:val="18"/>
                <w:szCs w:val="18"/>
                <w:highlight w:val="none"/>
              </w:rPr>
            </w:pPr>
          </w:p>
        </w:tc>
        <w:tc>
          <w:tcPr>
            <w:tcW w:w="1405"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2.84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210</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01</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99</w:t>
            </w:r>
          </w:p>
        </w:tc>
        <w:tc>
          <w:tcPr>
            <w:tcW w:w="4169"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8"/>
                <w:szCs w:val="18"/>
                <w:highlight w:val="none"/>
              </w:rPr>
              <w:t xml:space="preserve">    其他卫生健康管理事务支出</w:t>
            </w:r>
          </w:p>
        </w:tc>
        <w:tc>
          <w:tcPr>
            <w:tcW w:w="1306" w:type="dxa"/>
            <w:shd w:val="clear" w:color="auto" w:fill="auto"/>
            <w:vAlign w:val="center"/>
          </w:tcPr>
          <w:p>
            <w:pPr>
              <w:jc w:val="right"/>
              <w:rPr>
                <w:sz w:val="18"/>
                <w:szCs w:val="18"/>
                <w:highlight w:val="none"/>
              </w:rPr>
            </w:pPr>
            <w:r>
              <w:rPr>
                <w:rFonts w:hint="eastAsia" w:ascii="宋体" w:hAnsi="宋体"/>
                <w:color w:val="000000"/>
                <w:sz w:val="18"/>
                <w:szCs w:val="18"/>
                <w:highlight w:val="none"/>
              </w:rPr>
              <w:t>2.84</w:t>
            </w:r>
          </w:p>
        </w:tc>
        <w:tc>
          <w:tcPr>
            <w:tcW w:w="1306" w:type="dxa"/>
            <w:gridSpan w:val="2"/>
            <w:shd w:val="clear" w:color="auto" w:fill="auto"/>
            <w:vAlign w:val="center"/>
          </w:tcPr>
          <w:p>
            <w:pPr>
              <w:jc w:val="right"/>
              <w:rPr>
                <w:sz w:val="18"/>
                <w:szCs w:val="18"/>
                <w:highlight w:val="none"/>
              </w:rPr>
            </w:pPr>
          </w:p>
        </w:tc>
        <w:tc>
          <w:tcPr>
            <w:tcW w:w="1405" w:type="dxa"/>
            <w:shd w:val="clear" w:color="auto" w:fill="auto"/>
            <w:vAlign w:val="center"/>
          </w:tcPr>
          <w:p>
            <w:pPr>
              <w:jc w:val="right"/>
              <w:rPr>
                <w:sz w:val="18"/>
                <w:szCs w:val="18"/>
                <w:highlight w:val="none"/>
              </w:rPr>
            </w:pPr>
            <w:r>
              <w:rPr>
                <w:rFonts w:hint="eastAsia" w:ascii="宋体" w:hAnsi="宋体"/>
                <w:color w:val="000000"/>
                <w:sz w:val="18"/>
                <w:szCs w:val="18"/>
                <w:highlight w:val="none"/>
              </w:rPr>
              <w:t>2.84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210</w:t>
            </w:r>
          </w:p>
        </w:tc>
        <w:tc>
          <w:tcPr>
            <w:tcW w:w="567"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03</w:t>
            </w:r>
          </w:p>
        </w:tc>
        <w:tc>
          <w:tcPr>
            <w:tcW w:w="567" w:type="dxa"/>
            <w:shd w:val="clear" w:color="auto" w:fill="auto"/>
            <w:vAlign w:val="center"/>
          </w:tcPr>
          <w:p>
            <w:pPr>
              <w:jc w:val="center"/>
              <w:rPr>
                <w:rFonts w:hint="default" w:ascii="宋体" w:hAnsi="宋体"/>
                <w:b/>
                <w:sz w:val="18"/>
                <w:szCs w:val="18"/>
                <w:highlight w:val="none"/>
              </w:rPr>
            </w:pPr>
          </w:p>
        </w:tc>
        <w:tc>
          <w:tcPr>
            <w:tcW w:w="4169"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8"/>
                <w:szCs w:val="18"/>
                <w:highlight w:val="none"/>
              </w:rPr>
              <w:t xml:space="preserve">  基层医疗卫生机构</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1,575.97</w:t>
            </w:r>
          </w:p>
        </w:tc>
        <w:tc>
          <w:tcPr>
            <w:tcW w:w="130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456.99</w:t>
            </w:r>
          </w:p>
        </w:tc>
        <w:tc>
          <w:tcPr>
            <w:tcW w:w="1405"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1,118.98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210</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03</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02</w:t>
            </w:r>
          </w:p>
        </w:tc>
        <w:tc>
          <w:tcPr>
            <w:tcW w:w="4169"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8"/>
                <w:szCs w:val="18"/>
                <w:highlight w:val="none"/>
              </w:rPr>
              <w:t xml:space="preserve">    乡镇卫生院</w:t>
            </w:r>
          </w:p>
        </w:tc>
        <w:tc>
          <w:tcPr>
            <w:tcW w:w="1306" w:type="dxa"/>
            <w:shd w:val="clear" w:color="auto" w:fill="auto"/>
            <w:vAlign w:val="center"/>
          </w:tcPr>
          <w:p>
            <w:pPr>
              <w:jc w:val="right"/>
              <w:rPr>
                <w:sz w:val="18"/>
                <w:szCs w:val="18"/>
                <w:highlight w:val="none"/>
              </w:rPr>
            </w:pPr>
            <w:r>
              <w:rPr>
                <w:rFonts w:hint="eastAsia" w:ascii="宋体" w:hAnsi="宋体"/>
                <w:color w:val="000000"/>
                <w:sz w:val="18"/>
                <w:szCs w:val="18"/>
                <w:highlight w:val="none"/>
              </w:rPr>
              <w:t>1,563.45</w:t>
            </w:r>
          </w:p>
        </w:tc>
        <w:tc>
          <w:tcPr>
            <w:tcW w:w="1306" w:type="dxa"/>
            <w:gridSpan w:val="2"/>
            <w:shd w:val="clear" w:color="auto" w:fill="auto"/>
            <w:vAlign w:val="center"/>
          </w:tcPr>
          <w:p>
            <w:pPr>
              <w:jc w:val="right"/>
              <w:rPr>
                <w:sz w:val="18"/>
                <w:szCs w:val="18"/>
                <w:highlight w:val="none"/>
              </w:rPr>
            </w:pPr>
            <w:r>
              <w:rPr>
                <w:rFonts w:hint="eastAsia" w:ascii="宋体" w:hAnsi="宋体"/>
                <w:color w:val="000000"/>
                <w:sz w:val="18"/>
                <w:szCs w:val="18"/>
                <w:highlight w:val="none"/>
              </w:rPr>
              <w:t>456.99</w:t>
            </w:r>
          </w:p>
        </w:tc>
        <w:tc>
          <w:tcPr>
            <w:tcW w:w="1405" w:type="dxa"/>
            <w:shd w:val="clear" w:color="auto" w:fill="auto"/>
            <w:vAlign w:val="center"/>
          </w:tcPr>
          <w:p>
            <w:pPr>
              <w:jc w:val="right"/>
              <w:rPr>
                <w:sz w:val="18"/>
                <w:szCs w:val="18"/>
                <w:highlight w:val="none"/>
              </w:rPr>
            </w:pPr>
            <w:r>
              <w:rPr>
                <w:rFonts w:hint="eastAsia" w:ascii="宋体" w:hAnsi="宋体"/>
                <w:color w:val="000000"/>
                <w:sz w:val="18"/>
                <w:szCs w:val="18"/>
                <w:highlight w:val="none"/>
              </w:rPr>
              <w:t>1,106.47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210</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03</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99</w:t>
            </w:r>
          </w:p>
        </w:tc>
        <w:tc>
          <w:tcPr>
            <w:tcW w:w="4169"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8"/>
                <w:szCs w:val="18"/>
                <w:highlight w:val="none"/>
              </w:rPr>
              <w:t xml:space="preserve">    其他基层医疗卫生机构支出</w:t>
            </w:r>
          </w:p>
        </w:tc>
        <w:tc>
          <w:tcPr>
            <w:tcW w:w="1306" w:type="dxa"/>
            <w:shd w:val="clear" w:color="auto" w:fill="auto"/>
            <w:vAlign w:val="center"/>
          </w:tcPr>
          <w:p>
            <w:pPr>
              <w:jc w:val="right"/>
              <w:rPr>
                <w:sz w:val="18"/>
                <w:szCs w:val="18"/>
                <w:highlight w:val="none"/>
              </w:rPr>
            </w:pPr>
            <w:r>
              <w:rPr>
                <w:rFonts w:hint="eastAsia" w:ascii="宋体" w:hAnsi="宋体"/>
                <w:color w:val="000000"/>
                <w:sz w:val="18"/>
                <w:szCs w:val="18"/>
                <w:highlight w:val="none"/>
              </w:rPr>
              <w:t>12.52</w:t>
            </w:r>
          </w:p>
        </w:tc>
        <w:tc>
          <w:tcPr>
            <w:tcW w:w="1306" w:type="dxa"/>
            <w:gridSpan w:val="2"/>
            <w:shd w:val="clear" w:color="auto" w:fill="auto"/>
            <w:vAlign w:val="center"/>
          </w:tcPr>
          <w:p>
            <w:pPr>
              <w:jc w:val="right"/>
              <w:rPr>
                <w:sz w:val="18"/>
                <w:szCs w:val="18"/>
                <w:highlight w:val="none"/>
              </w:rPr>
            </w:pPr>
          </w:p>
        </w:tc>
        <w:tc>
          <w:tcPr>
            <w:tcW w:w="1405" w:type="dxa"/>
            <w:shd w:val="clear" w:color="auto" w:fill="auto"/>
            <w:vAlign w:val="center"/>
          </w:tcPr>
          <w:p>
            <w:pPr>
              <w:jc w:val="right"/>
              <w:rPr>
                <w:sz w:val="18"/>
                <w:szCs w:val="18"/>
                <w:highlight w:val="none"/>
              </w:rPr>
            </w:pPr>
            <w:r>
              <w:rPr>
                <w:rFonts w:hint="eastAsia" w:ascii="宋体" w:hAnsi="宋体"/>
                <w:color w:val="000000"/>
                <w:sz w:val="18"/>
                <w:szCs w:val="18"/>
                <w:highlight w:val="none"/>
              </w:rPr>
              <w:t>12.52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210</w:t>
            </w:r>
          </w:p>
        </w:tc>
        <w:tc>
          <w:tcPr>
            <w:tcW w:w="567"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04</w:t>
            </w:r>
          </w:p>
        </w:tc>
        <w:tc>
          <w:tcPr>
            <w:tcW w:w="567" w:type="dxa"/>
            <w:shd w:val="clear" w:color="auto" w:fill="auto"/>
            <w:vAlign w:val="center"/>
          </w:tcPr>
          <w:p>
            <w:pPr>
              <w:jc w:val="center"/>
              <w:rPr>
                <w:rFonts w:hint="default" w:ascii="宋体" w:hAnsi="宋体"/>
                <w:b/>
                <w:sz w:val="18"/>
                <w:szCs w:val="18"/>
                <w:highlight w:val="none"/>
              </w:rPr>
            </w:pPr>
          </w:p>
        </w:tc>
        <w:tc>
          <w:tcPr>
            <w:tcW w:w="4169"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8"/>
                <w:szCs w:val="18"/>
                <w:highlight w:val="none"/>
              </w:rPr>
              <w:t xml:space="preserve">  公共卫生</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69.63</w:t>
            </w:r>
          </w:p>
        </w:tc>
        <w:tc>
          <w:tcPr>
            <w:tcW w:w="1306" w:type="dxa"/>
            <w:gridSpan w:val="2"/>
            <w:shd w:val="clear" w:color="auto" w:fill="auto"/>
            <w:vAlign w:val="center"/>
          </w:tcPr>
          <w:p>
            <w:pPr>
              <w:jc w:val="right"/>
              <w:rPr>
                <w:b/>
                <w:sz w:val="18"/>
                <w:szCs w:val="18"/>
                <w:highlight w:val="none"/>
              </w:rPr>
            </w:pPr>
          </w:p>
        </w:tc>
        <w:tc>
          <w:tcPr>
            <w:tcW w:w="1405"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69.63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210</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04</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08</w:t>
            </w:r>
          </w:p>
        </w:tc>
        <w:tc>
          <w:tcPr>
            <w:tcW w:w="4169"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8"/>
                <w:szCs w:val="18"/>
                <w:highlight w:val="none"/>
              </w:rPr>
              <w:t xml:space="preserve">    基本公共卫生服务</w:t>
            </w:r>
          </w:p>
        </w:tc>
        <w:tc>
          <w:tcPr>
            <w:tcW w:w="1306" w:type="dxa"/>
            <w:shd w:val="clear" w:color="auto" w:fill="auto"/>
            <w:vAlign w:val="center"/>
          </w:tcPr>
          <w:p>
            <w:pPr>
              <w:jc w:val="right"/>
              <w:rPr>
                <w:sz w:val="18"/>
                <w:szCs w:val="18"/>
                <w:highlight w:val="none"/>
              </w:rPr>
            </w:pPr>
            <w:r>
              <w:rPr>
                <w:rFonts w:hint="eastAsia" w:ascii="宋体" w:hAnsi="宋体"/>
                <w:color w:val="000000"/>
                <w:sz w:val="18"/>
                <w:szCs w:val="18"/>
                <w:highlight w:val="none"/>
              </w:rPr>
              <w:t>23.49</w:t>
            </w:r>
          </w:p>
        </w:tc>
        <w:tc>
          <w:tcPr>
            <w:tcW w:w="1306" w:type="dxa"/>
            <w:gridSpan w:val="2"/>
            <w:shd w:val="clear" w:color="auto" w:fill="auto"/>
            <w:vAlign w:val="center"/>
          </w:tcPr>
          <w:p>
            <w:pPr>
              <w:jc w:val="right"/>
              <w:rPr>
                <w:sz w:val="18"/>
                <w:szCs w:val="18"/>
                <w:highlight w:val="none"/>
              </w:rPr>
            </w:pPr>
          </w:p>
        </w:tc>
        <w:tc>
          <w:tcPr>
            <w:tcW w:w="1405" w:type="dxa"/>
            <w:shd w:val="clear" w:color="auto" w:fill="auto"/>
            <w:vAlign w:val="center"/>
          </w:tcPr>
          <w:p>
            <w:pPr>
              <w:jc w:val="right"/>
              <w:rPr>
                <w:sz w:val="18"/>
                <w:szCs w:val="18"/>
                <w:highlight w:val="none"/>
              </w:rPr>
            </w:pPr>
            <w:r>
              <w:rPr>
                <w:rFonts w:hint="eastAsia" w:ascii="宋体" w:hAnsi="宋体"/>
                <w:color w:val="000000"/>
                <w:sz w:val="18"/>
                <w:szCs w:val="18"/>
                <w:highlight w:val="none"/>
              </w:rPr>
              <w:t>23.49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210</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04</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09</w:t>
            </w:r>
          </w:p>
        </w:tc>
        <w:tc>
          <w:tcPr>
            <w:tcW w:w="4169"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8"/>
                <w:szCs w:val="18"/>
                <w:highlight w:val="none"/>
              </w:rPr>
              <w:t xml:space="preserve">    重大公共卫生服务</w:t>
            </w:r>
          </w:p>
        </w:tc>
        <w:tc>
          <w:tcPr>
            <w:tcW w:w="1306" w:type="dxa"/>
            <w:shd w:val="clear" w:color="auto" w:fill="auto"/>
            <w:vAlign w:val="center"/>
          </w:tcPr>
          <w:p>
            <w:pPr>
              <w:jc w:val="right"/>
              <w:rPr>
                <w:sz w:val="18"/>
                <w:szCs w:val="18"/>
                <w:highlight w:val="none"/>
              </w:rPr>
            </w:pPr>
            <w:r>
              <w:rPr>
                <w:rFonts w:hint="eastAsia" w:ascii="宋体" w:hAnsi="宋体"/>
                <w:color w:val="000000"/>
                <w:sz w:val="18"/>
                <w:szCs w:val="18"/>
                <w:highlight w:val="none"/>
              </w:rPr>
              <w:t>13.85</w:t>
            </w:r>
          </w:p>
        </w:tc>
        <w:tc>
          <w:tcPr>
            <w:tcW w:w="1306" w:type="dxa"/>
            <w:gridSpan w:val="2"/>
            <w:shd w:val="clear" w:color="auto" w:fill="auto"/>
            <w:vAlign w:val="center"/>
          </w:tcPr>
          <w:p>
            <w:pPr>
              <w:jc w:val="right"/>
              <w:rPr>
                <w:sz w:val="18"/>
                <w:szCs w:val="18"/>
                <w:highlight w:val="none"/>
              </w:rPr>
            </w:pPr>
          </w:p>
        </w:tc>
        <w:tc>
          <w:tcPr>
            <w:tcW w:w="1405" w:type="dxa"/>
            <w:shd w:val="clear" w:color="auto" w:fill="auto"/>
            <w:vAlign w:val="center"/>
          </w:tcPr>
          <w:p>
            <w:pPr>
              <w:jc w:val="right"/>
              <w:rPr>
                <w:sz w:val="18"/>
                <w:szCs w:val="18"/>
                <w:highlight w:val="none"/>
              </w:rPr>
            </w:pPr>
            <w:r>
              <w:rPr>
                <w:rFonts w:hint="eastAsia" w:ascii="宋体" w:hAnsi="宋体"/>
                <w:color w:val="000000"/>
                <w:sz w:val="18"/>
                <w:szCs w:val="18"/>
                <w:highlight w:val="none"/>
              </w:rPr>
              <w:t>13.85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210</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04</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99</w:t>
            </w:r>
          </w:p>
        </w:tc>
        <w:tc>
          <w:tcPr>
            <w:tcW w:w="4169"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8"/>
                <w:szCs w:val="18"/>
                <w:highlight w:val="none"/>
              </w:rPr>
              <w:t xml:space="preserve">    其他公共卫生支出</w:t>
            </w:r>
          </w:p>
        </w:tc>
        <w:tc>
          <w:tcPr>
            <w:tcW w:w="1306" w:type="dxa"/>
            <w:shd w:val="clear" w:color="auto" w:fill="auto"/>
            <w:vAlign w:val="center"/>
          </w:tcPr>
          <w:p>
            <w:pPr>
              <w:jc w:val="right"/>
              <w:rPr>
                <w:sz w:val="18"/>
                <w:szCs w:val="18"/>
                <w:highlight w:val="none"/>
              </w:rPr>
            </w:pPr>
            <w:r>
              <w:rPr>
                <w:rFonts w:hint="eastAsia" w:ascii="宋体" w:hAnsi="宋体"/>
                <w:color w:val="000000"/>
                <w:sz w:val="18"/>
                <w:szCs w:val="18"/>
                <w:highlight w:val="none"/>
              </w:rPr>
              <w:t>32.28</w:t>
            </w:r>
          </w:p>
        </w:tc>
        <w:tc>
          <w:tcPr>
            <w:tcW w:w="1306" w:type="dxa"/>
            <w:gridSpan w:val="2"/>
            <w:shd w:val="clear" w:color="auto" w:fill="auto"/>
            <w:vAlign w:val="center"/>
          </w:tcPr>
          <w:p>
            <w:pPr>
              <w:jc w:val="right"/>
              <w:rPr>
                <w:sz w:val="18"/>
                <w:szCs w:val="18"/>
                <w:highlight w:val="none"/>
              </w:rPr>
            </w:pPr>
          </w:p>
        </w:tc>
        <w:tc>
          <w:tcPr>
            <w:tcW w:w="1405" w:type="dxa"/>
            <w:shd w:val="clear" w:color="auto" w:fill="auto"/>
            <w:vAlign w:val="center"/>
          </w:tcPr>
          <w:p>
            <w:pPr>
              <w:jc w:val="right"/>
              <w:rPr>
                <w:sz w:val="18"/>
                <w:szCs w:val="18"/>
                <w:highlight w:val="none"/>
              </w:rPr>
            </w:pPr>
            <w:r>
              <w:rPr>
                <w:rFonts w:hint="eastAsia" w:ascii="宋体" w:hAnsi="宋体"/>
                <w:color w:val="000000"/>
                <w:sz w:val="18"/>
                <w:szCs w:val="18"/>
                <w:highlight w:val="none"/>
              </w:rPr>
              <w:t>32.28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210</w:t>
            </w:r>
          </w:p>
        </w:tc>
        <w:tc>
          <w:tcPr>
            <w:tcW w:w="567"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11</w:t>
            </w:r>
          </w:p>
        </w:tc>
        <w:tc>
          <w:tcPr>
            <w:tcW w:w="567" w:type="dxa"/>
            <w:shd w:val="clear" w:color="auto" w:fill="auto"/>
            <w:vAlign w:val="center"/>
          </w:tcPr>
          <w:p>
            <w:pPr>
              <w:jc w:val="center"/>
              <w:rPr>
                <w:rFonts w:hint="default" w:ascii="宋体" w:hAnsi="宋体"/>
                <w:b/>
                <w:sz w:val="18"/>
                <w:szCs w:val="18"/>
                <w:highlight w:val="none"/>
              </w:rPr>
            </w:pPr>
          </w:p>
        </w:tc>
        <w:tc>
          <w:tcPr>
            <w:tcW w:w="4169"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8"/>
                <w:szCs w:val="18"/>
                <w:highlight w:val="none"/>
              </w:rPr>
              <w:t xml:space="preserve">  行政事业单位医疗</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25.64</w:t>
            </w:r>
          </w:p>
        </w:tc>
        <w:tc>
          <w:tcPr>
            <w:tcW w:w="130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25.64</w:t>
            </w:r>
          </w:p>
        </w:tc>
        <w:tc>
          <w:tcPr>
            <w:tcW w:w="1405"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210</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11</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02</w:t>
            </w:r>
          </w:p>
        </w:tc>
        <w:tc>
          <w:tcPr>
            <w:tcW w:w="4169"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8"/>
                <w:szCs w:val="18"/>
                <w:highlight w:val="none"/>
              </w:rPr>
              <w:t xml:space="preserve">    事业单位医疗</w:t>
            </w:r>
          </w:p>
        </w:tc>
        <w:tc>
          <w:tcPr>
            <w:tcW w:w="1306" w:type="dxa"/>
            <w:shd w:val="clear" w:color="auto" w:fill="auto"/>
            <w:vAlign w:val="center"/>
          </w:tcPr>
          <w:p>
            <w:pPr>
              <w:jc w:val="right"/>
              <w:rPr>
                <w:sz w:val="18"/>
                <w:szCs w:val="18"/>
                <w:highlight w:val="none"/>
              </w:rPr>
            </w:pPr>
            <w:r>
              <w:rPr>
                <w:rFonts w:hint="eastAsia" w:ascii="宋体" w:hAnsi="宋体"/>
                <w:color w:val="000000"/>
                <w:sz w:val="18"/>
                <w:szCs w:val="18"/>
                <w:highlight w:val="none"/>
              </w:rPr>
              <w:t>25.64</w:t>
            </w:r>
          </w:p>
        </w:tc>
        <w:tc>
          <w:tcPr>
            <w:tcW w:w="1306" w:type="dxa"/>
            <w:gridSpan w:val="2"/>
            <w:shd w:val="clear" w:color="auto" w:fill="auto"/>
            <w:vAlign w:val="center"/>
          </w:tcPr>
          <w:p>
            <w:pPr>
              <w:jc w:val="right"/>
              <w:rPr>
                <w:sz w:val="18"/>
                <w:szCs w:val="18"/>
                <w:highlight w:val="none"/>
              </w:rPr>
            </w:pPr>
            <w:r>
              <w:rPr>
                <w:rFonts w:hint="eastAsia" w:ascii="宋体" w:hAnsi="宋体"/>
                <w:color w:val="000000"/>
                <w:sz w:val="18"/>
                <w:szCs w:val="18"/>
                <w:highlight w:val="none"/>
              </w:rPr>
              <w:t>25.64</w:t>
            </w:r>
          </w:p>
        </w:tc>
        <w:tc>
          <w:tcPr>
            <w:tcW w:w="1405"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221</w:t>
            </w:r>
          </w:p>
        </w:tc>
        <w:tc>
          <w:tcPr>
            <w:tcW w:w="567" w:type="dxa"/>
            <w:shd w:val="clear" w:color="auto" w:fill="auto"/>
            <w:vAlign w:val="center"/>
          </w:tcPr>
          <w:p>
            <w:pPr>
              <w:jc w:val="center"/>
              <w:rPr>
                <w:rFonts w:hint="default" w:ascii="宋体" w:hAnsi="宋体"/>
                <w:b/>
                <w:sz w:val="18"/>
                <w:szCs w:val="18"/>
                <w:highlight w:val="none"/>
              </w:rPr>
            </w:pPr>
          </w:p>
        </w:tc>
        <w:tc>
          <w:tcPr>
            <w:tcW w:w="567" w:type="dxa"/>
            <w:shd w:val="clear" w:color="auto" w:fill="auto"/>
            <w:vAlign w:val="center"/>
          </w:tcPr>
          <w:p>
            <w:pPr>
              <w:jc w:val="center"/>
              <w:rPr>
                <w:rFonts w:hint="default" w:ascii="宋体" w:hAnsi="宋体"/>
                <w:b/>
                <w:sz w:val="18"/>
                <w:szCs w:val="18"/>
                <w:highlight w:val="none"/>
              </w:rPr>
            </w:pPr>
          </w:p>
        </w:tc>
        <w:tc>
          <w:tcPr>
            <w:tcW w:w="4169"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8"/>
                <w:szCs w:val="18"/>
                <w:highlight w:val="none"/>
              </w:rPr>
              <w:t>住房保障支出</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47.33</w:t>
            </w:r>
          </w:p>
        </w:tc>
        <w:tc>
          <w:tcPr>
            <w:tcW w:w="130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47.33</w:t>
            </w:r>
          </w:p>
        </w:tc>
        <w:tc>
          <w:tcPr>
            <w:tcW w:w="1405"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221</w:t>
            </w:r>
          </w:p>
        </w:tc>
        <w:tc>
          <w:tcPr>
            <w:tcW w:w="567"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02</w:t>
            </w:r>
          </w:p>
        </w:tc>
        <w:tc>
          <w:tcPr>
            <w:tcW w:w="567" w:type="dxa"/>
            <w:shd w:val="clear" w:color="auto" w:fill="auto"/>
            <w:vAlign w:val="center"/>
          </w:tcPr>
          <w:p>
            <w:pPr>
              <w:jc w:val="center"/>
              <w:rPr>
                <w:rFonts w:hint="default" w:ascii="宋体" w:hAnsi="宋体"/>
                <w:b/>
                <w:sz w:val="18"/>
                <w:szCs w:val="18"/>
                <w:highlight w:val="none"/>
              </w:rPr>
            </w:pPr>
          </w:p>
        </w:tc>
        <w:tc>
          <w:tcPr>
            <w:tcW w:w="4169"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8"/>
                <w:szCs w:val="18"/>
                <w:highlight w:val="none"/>
              </w:rPr>
              <w:t xml:space="preserve">  住房改革支出</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47.33</w:t>
            </w:r>
          </w:p>
        </w:tc>
        <w:tc>
          <w:tcPr>
            <w:tcW w:w="130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47.33</w:t>
            </w:r>
          </w:p>
        </w:tc>
        <w:tc>
          <w:tcPr>
            <w:tcW w:w="1405"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221</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02</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01</w:t>
            </w:r>
          </w:p>
        </w:tc>
        <w:tc>
          <w:tcPr>
            <w:tcW w:w="4169"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8"/>
                <w:szCs w:val="18"/>
                <w:highlight w:val="none"/>
              </w:rPr>
              <w:t xml:space="preserve">    住房公积金</w:t>
            </w:r>
          </w:p>
        </w:tc>
        <w:tc>
          <w:tcPr>
            <w:tcW w:w="1306" w:type="dxa"/>
            <w:shd w:val="clear" w:color="auto" w:fill="auto"/>
            <w:vAlign w:val="center"/>
          </w:tcPr>
          <w:p>
            <w:pPr>
              <w:jc w:val="right"/>
              <w:rPr>
                <w:sz w:val="18"/>
                <w:szCs w:val="18"/>
                <w:highlight w:val="none"/>
              </w:rPr>
            </w:pPr>
            <w:r>
              <w:rPr>
                <w:rFonts w:hint="eastAsia" w:ascii="宋体" w:hAnsi="宋体"/>
                <w:color w:val="000000"/>
                <w:sz w:val="18"/>
                <w:szCs w:val="18"/>
                <w:highlight w:val="none"/>
              </w:rPr>
              <w:t>47.33</w:t>
            </w:r>
          </w:p>
        </w:tc>
        <w:tc>
          <w:tcPr>
            <w:tcW w:w="1306" w:type="dxa"/>
            <w:gridSpan w:val="2"/>
            <w:shd w:val="clear" w:color="auto" w:fill="auto"/>
            <w:vAlign w:val="center"/>
          </w:tcPr>
          <w:p>
            <w:pPr>
              <w:jc w:val="right"/>
              <w:rPr>
                <w:sz w:val="18"/>
                <w:szCs w:val="18"/>
                <w:highlight w:val="none"/>
              </w:rPr>
            </w:pPr>
            <w:r>
              <w:rPr>
                <w:rFonts w:hint="eastAsia" w:ascii="宋体" w:hAnsi="宋体"/>
                <w:color w:val="000000"/>
                <w:sz w:val="18"/>
                <w:szCs w:val="18"/>
                <w:highlight w:val="none"/>
              </w:rPr>
              <w:t>47.33</w:t>
            </w:r>
          </w:p>
        </w:tc>
        <w:tc>
          <w:tcPr>
            <w:tcW w:w="1405"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229</w:t>
            </w:r>
          </w:p>
        </w:tc>
        <w:tc>
          <w:tcPr>
            <w:tcW w:w="567" w:type="dxa"/>
            <w:shd w:val="clear" w:color="auto" w:fill="auto"/>
            <w:vAlign w:val="center"/>
          </w:tcPr>
          <w:p>
            <w:pPr>
              <w:jc w:val="center"/>
              <w:rPr>
                <w:rFonts w:hint="default" w:ascii="宋体" w:hAnsi="宋体"/>
                <w:b/>
                <w:sz w:val="18"/>
                <w:szCs w:val="18"/>
                <w:highlight w:val="none"/>
              </w:rPr>
            </w:pPr>
          </w:p>
        </w:tc>
        <w:tc>
          <w:tcPr>
            <w:tcW w:w="567" w:type="dxa"/>
            <w:shd w:val="clear" w:color="auto" w:fill="auto"/>
            <w:vAlign w:val="center"/>
          </w:tcPr>
          <w:p>
            <w:pPr>
              <w:jc w:val="center"/>
              <w:rPr>
                <w:rFonts w:hint="default" w:ascii="宋体" w:hAnsi="宋体"/>
                <w:b/>
                <w:sz w:val="18"/>
                <w:szCs w:val="18"/>
                <w:highlight w:val="none"/>
              </w:rPr>
            </w:pPr>
          </w:p>
        </w:tc>
        <w:tc>
          <w:tcPr>
            <w:tcW w:w="4169"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8"/>
                <w:szCs w:val="18"/>
                <w:highlight w:val="none"/>
              </w:rPr>
              <w:t>其他支出</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0.68</w:t>
            </w:r>
          </w:p>
        </w:tc>
        <w:tc>
          <w:tcPr>
            <w:tcW w:w="1306" w:type="dxa"/>
            <w:gridSpan w:val="2"/>
            <w:shd w:val="clear" w:color="auto" w:fill="auto"/>
            <w:vAlign w:val="center"/>
          </w:tcPr>
          <w:p>
            <w:pPr>
              <w:jc w:val="right"/>
              <w:rPr>
                <w:b/>
                <w:sz w:val="18"/>
                <w:szCs w:val="18"/>
                <w:highlight w:val="none"/>
              </w:rPr>
            </w:pPr>
          </w:p>
        </w:tc>
        <w:tc>
          <w:tcPr>
            <w:tcW w:w="1405"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0.68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229</w:t>
            </w:r>
          </w:p>
        </w:tc>
        <w:tc>
          <w:tcPr>
            <w:tcW w:w="567"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60</w:t>
            </w:r>
          </w:p>
        </w:tc>
        <w:tc>
          <w:tcPr>
            <w:tcW w:w="567" w:type="dxa"/>
            <w:shd w:val="clear" w:color="auto" w:fill="auto"/>
            <w:vAlign w:val="center"/>
          </w:tcPr>
          <w:p>
            <w:pPr>
              <w:jc w:val="center"/>
              <w:rPr>
                <w:rFonts w:hint="default" w:ascii="宋体" w:hAnsi="宋体"/>
                <w:b/>
                <w:sz w:val="18"/>
                <w:szCs w:val="18"/>
                <w:highlight w:val="none"/>
              </w:rPr>
            </w:pPr>
          </w:p>
        </w:tc>
        <w:tc>
          <w:tcPr>
            <w:tcW w:w="4169"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8"/>
                <w:szCs w:val="18"/>
                <w:highlight w:val="none"/>
              </w:rPr>
              <w:t xml:space="preserve">  彩票公益金安排的支出</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0.68</w:t>
            </w:r>
          </w:p>
        </w:tc>
        <w:tc>
          <w:tcPr>
            <w:tcW w:w="1306" w:type="dxa"/>
            <w:gridSpan w:val="2"/>
            <w:shd w:val="clear" w:color="auto" w:fill="auto"/>
            <w:vAlign w:val="center"/>
          </w:tcPr>
          <w:p>
            <w:pPr>
              <w:jc w:val="right"/>
              <w:rPr>
                <w:b/>
                <w:sz w:val="18"/>
                <w:szCs w:val="18"/>
                <w:highlight w:val="none"/>
              </w:rPr>
            </w:pPr>
          </w:p>
        </w:tc>
        <w:tc>
          <w:tcPr>
            <w:tcW w:w="1405"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0.68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229</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60</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13</w:t>
            </w:r>
          </w:p>
        </w:tc>
        <w:tc>
          <w:tcPr>
            <w:tcW w:w="4169"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8"/>
                <w:szCs w:val="18"/>
                <w:highlight w:val="none"/>
              </w:rPr>
              <w:t xml:space="preserve">    用于城乡医疗救助的彩票公益金支出</w:t>
            </w:r>
          </w:p>
        </w:tc>
        <w:tc>
          <w:tcPr>
            <w:tcW w:w="1306" w:type="dxa"/>
            <w:shd w:val="clear" w:color="auto" w:fill="auto"/>
            <w:vAlign w:val="center"/>
          </w:tcPr>
          <w:p>
            <w:pPr>
              <w:jc w:val="right"/>
              <w:rPr>
                <w:sz w:val="18"/>
                <w:szCs w:val="18"/>
                <w:highlight w:val="none"/>
              </w:rPr>
            </w:pPr>
            <w:r>
              <w:rPr>
                <w:rFonts w:hint="eastAsia" w:ascii="宋体" w:hAnsi="宋体"/>
                <w:color w:val="000000"/>
                <w:sz w:val="18"/>
                <w:szCs w:val="18"/>
                <w:highlight w:val="none"/>
              </w:rPr>
              <w:t>0.68</w:t>
            </w:r>
          </w:p>
        </w:tc>
        <w:tc>
          <w:tcPr>
            <w:tcW w:w="1306" w:type="dxa"/>
            <w:gridSpan w:val="2"/>
            <w:shd w:val="clear" w:color="auto" w:fill="auto"/>
            <w:vAlign w:val="center"/>
          </w:tcPr>
          <w:p>
            <w:pPr>
              <w:jc w:val="right"/>
              <w:rPr>
                <w:sz w:val="18"/>
                <w:szCs w:val="18"/>
                <w:highlight w:val="none"/>
              </w:rPr>
            </w:pPr>
          </w:p>
        </w:tc>
        <w:tc>
          <w:tcPr>
            <w:tcW w:w="1405" w:type="dxa"/>
            <w:shd w:val="clear" w:color="auto" w:fill="auto"/>
            <w:vAlign w:val="center"/>
          </w:tcPr>
          <w:p>
            <w:pPr>
              <w:jc w:val="right"/>
              <w:rPr>
                <w:sz w:val="18"/>
                <w:szCs w:val="18"/>
                <w:highlight w:val="none"/>
              </w:rPr>
            </w:pPr>
            <w:r>
              <w:rPr>
                <w:rFonts w:hint="eastAsia" w:ascii="宋体" w:hAnsi="宋体"/>
                <w:color w:val="000000"/>
                <w:sz w:val="18"/>
                <w:szCs w:val="18"/>
                <w:highlight w:val="none"/>
              </w:rPr>
              <w:t>0.68</w:t>
            </w:r>
          </w:p>
        </w:tc>
      </w:tr>
    </w:tbl>
    <w:p>
      <w:pPr>
        <w:widowControl/>
        <w:jc w:val="left"/>
        <w:rPr>
          <w:rFonts w:hint="default" w:ascii="仿宋" w:eastAsia="仿宋"/>
          <w:b/>
          <w:color w:val="000000"/>
          <w:szCs w:val="21"/>
          <w:highlight w:val="none"/>
        </w:rPr>
        <w:sectPr>
          <w:pgSz w:w="11906" w:h="16838"/>
          <w:pgMar w:top="1134" w:right="1134" w:bottom="1134" w:left="1134" w:header="851" w:footer="992" w:gutter="0"/>
          <w:cols w:space="425" w:num="1"/>
          <w:docGrid w:type="lines" w:linePitch="312" w:charSpace="0"/>
        </w:sectPr>
      </w:pPr>
    </w:p>
    <w:p>
      <w:pPr>
        <w:jc w:val="left"/>
        <w:rPr>
          <w:rFonts w:hint="default" w:ascii="宋体" w:hAnsi="宋体"/>
          <w:color w:val="000000"/>
          <w:sz w:val="18"/>
          <w:szCs w:val="18"/>
          <w:highlight w:val="none"/>
        </w:rPr>
      </w:pPr>
      <w:r>
        <w:rPr>
          <w:rFonts w:hint="eastAsia" w:ascii="宋体" w:hAnsi="宋体"/>
          <w:color w:val="000000"/>
          <w:sz w:val="18"/>
          <w:szCs w:val="18"/>
          <w:highlight w:val="none"/>
        </w:rPr>
        <w:t>表4</w:t>
      </w:r>
    </w:p>
    <w:p>
      <w:pPr>
        <w:jc w:val="center"/>
        <w:rPr>
          <w:rFonts w:hint="default" w:ascii="仿宋" w:hAnsi="宋体" w:eastAsia="仿宋"/>
          <w:b/>
          <w:color w:val="000000"/>
          <w:sz w:val="28"/>
          <w:szCs w:val="28"/>
          <w:highlight w:val="none"/>
        </w:rPr>
      </w:pPr>
      <w:r>
        <w:rPr>
          <w:rFonts w:hint="eastAsia" w:ascii="仿宋" w:hAnsi="宋体" w:eastAsia="仿宋"/>
          <w:b/>
          <w:color w:val="000000"/>
          <w:sz w:val="28"/>
          <w:szCs w:val="28"/>
          <w:highlight w:val="none"/>
        </w:rPr>
        <w:t>财政拨款收支预算总体情况表</w:t>
      </w:r>
    </w:p>
    <w:tbl>
      <w:tblPr>
        <w:tblStyle w:val="7"/>
        <w:tblW w:w="98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1982"/>
        <w:gridCol w:w="1117"/>
        <w:gridCol w:w="2434"/>
        <w:gridCol w:w="1117"/>
        <w:gridCol w:w="52"/>
        <w:gridCol w:w="1011"/>
        <w:gridCol w:w="108"/>
        <w:gridCol w:w="955"/>
        <w:gridCol w:w="10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blHeader/>
        </w:trPr>
        <w:tc>
          <w:tcPr>
            <w:tcW w:w="6702" w:type="dxa"/>
            <w:gridSpan w:val="5"/>
            <w:tcBorders>
              <w:top w:val="nil"/>
              <w:left w:val="nil"/>
              <w:right w:val="nil"/>
            </w:tcBorders>
            <w:shd w:val="clear" w:color="auto" w:fill="auto"/>
            <w:vAlign w:val="center"/>
          </w:tcPr>
          <w:p>
            <w:pPr>
              <w:jc w:val="left"/>
              <w:rPr>
                <w:color w:val="000000"/>
                <w:sz w:val="18"/>
                <w:szCs w:val="18"/>
                <w:highlight w:val="none"/>
              </w:rPr>
            </w:pPr>
            <w:r>
              <w:rPr>
                <w:rFonts w:hint="eastAsia"/>
                <w:color w:val="000000"/>
                <w:sz w:val="18"/>
                <w:szCs w:val="18"/>
                <w:highlight w:val="none"/>
              </w:rPr>
              <w:t>编制部门：皮山县木奎拉乡卫生院</w:t>
            </w:r>
          </w:p>
        </w:tc>
        <w:tc>
          <w:tcPr>
            <w:tcW w:w="1119" w:type="dxa"/>
            <w:gridSpan w:val="2"/>
            <w:tcBorders>
              <w:top w:val="nil"/>
              <w:left w:val="nil"/>
              <w:right w:val="nil"/>
            </w:tcBorders>
            <w:shd w:val="clear" w:color="auto" w:fill="auto"/>
          </w:tcPr>
          <w:p>
            <w:pPr>
              <w:jc w:val="right"/>
              <w:rPr>
                <w:color w:val="000000"/>
                <w:sz w:val="18"/>
                <w:szCs w:val="18"/>
                <w:highlight w:val="none"/>
              </w:rPr>
            </w:pPr>
          </w:p>
        </w:tc>
        <w:tc>
          <w:tcPr>
            <w:tcW w:w="2006" w:type="dxa"/>
            <w:gridSpan w:val="2"/>
            <w:tcBorders>
              <w:top w:val="nil"/>
              <w:left w:val="nil"/>
              <w:right w:val="nil"/>
            </w:tcBorders>
            <w:shd w:val="clear" w:color="auto" w:fill="auto"/>
            <w:vAlign w:val="center"/>
          </w:tcPr>
          <w:p>
            <w:pPr>
              <w:jc w:val="right"/>
              <w:rPr>
                <w:color w:val="000000"/>
                <w:sz w:val="18"/>
                <w:szCs w:val="18"/>
                <w:highlight w:val="none"/>
              </w:rPr>
            </w:pPr>
            <w:r>
              <w:rPr>
                <w:rFonts w:hint="eastAsia"/>
                <w:color w:val="000000"/>
                <w:sz w:val="18"/>
                <w:szCs w:val="18"/>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blHeader/>
        </w:trPr>
        <w:tc>
          <w:tcPr>
            <w:tcW w:w="3099" w:type="dxa"/>
            <w:gridSpan w:val="2"/>
            <w:shd w:val="clear" w:color="auto" w:fill="auto"/>
            <w:vAlign w:val="center"/>
          </w:tcPr>
          <w:p>
            <w:pPr>
              <w:jc w:val="center"/>
              <w:rPr>
                <w:b/>
                <w:color w:val="000000"/>
                <w:sz w:val="18"/>
                <w:szCs w:val="18"/>
                <w:highlight w:val="none"/>
              </w:rPr>
            </w:pPr>
            <w:r>
              <w:rPr>
                <w:rFonts w:hint="eastAsia"/>
                <w:b/>
                <w:color w:val="000000"/>
                <w:sz w:val="18"/>
                <w:szCs w:val="18"/>
                <w:highlight w:val="none"/>
              </w:rPr>
              <w:t>财政拨款收入</w:t>
            </w:r>
          </w:p>
        </w:tc>
        <w:tc>
          <w:tcPr>
            <w:tcW w:w="6728" w:type="dxa"/>
            <w:gridSpan w:val="7"/>
            <w:shd w:val="clear" w:color="auto" w:fill="auto"/>
            <w:vAlign w:val="center"/>
          </w:tcPr>
          <w:p>
            <w:pPr>
              <w:jc w:val="center"/>
              <w:rPr>
                <w:b/>
                <w:color w:val="000000"/>
                <w:sz w:val="18"/>
                <w:szCs w:val="18"/>
                <w:highlight w:val="none"/>
              </w:rPr>
            </w:pPr>
            <w:r>
              <w:rPr>
                <w:rFonts w:hint="eastAsia"/>
                <w:b/>
                <w:color w:val="000000"/>
                <w:sz w:val="18"/>
                <w:szCs w:val="18"/>
                <w:highlight w:val="none"/>
              </w:rPr>
              <w:t>财政拨款支出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blHeader/>
        </w:trPr>
        <w:tc>
          <w:tcPr>
            <w:tcW w:w="1982" w:type="dxa"/>
            <w:shd w:val="clear" w:color="auto" w:fill="auto"/>
            <w:vAlign w:val="center"/>
          </w:tcPr>
          <w:p>
            <w:pPr>
              <w:jc w:val="center"/>
              <w:rPr>
                <w:color w:val="000000"/>
                <w:sz w:val="18"/>
                <w:szCs w:val="18"/>
                <w:highlight w:val="none"/>
              </w:rPr>
            </w:pPr>
            <w:r>
              <w:rPr>
                <w:rFonts w:hint="eastAsia"/>
                <w:b/>
                <w:color w:val="000000"/>
                <w:sz w:val="18"/>
                <w:szCs w:val="18"/>
                <w:highlight w:val="none"/>
              </w:rPr>
              <w:t>项目</w:t>
            </w:r>
          </w:p>
        </w:tc>
        <w:tc>
          <w:tcPr>
            <w:tcW w:w="1117" w:type="dxa"/>
            <w:shd w:val="clear" w:color="auto" w:fill="auto"/>
            <w:vAlign w:val="center"/>
          </w:tcPr>
          <w:p>
            <w:pPr>
              <w:jc w:val="center"/>
              <w:rPr>
                <w:color w:val="000000"/>
                <w:sz w:val="18"/>
                <w:szCs w:val="18"/>
                <w:highlight w:val="none"/>
              </w:rPr>
            </w:pPr>
            <w:r>
              <w:rPr>
                <w:rFonts w:hint="eastAsia"/>
                <w:b/>
                <w:color w:val="000000"/>
                <w:sz w:val="18"/>
                <w:szCs w:val="18"/>
                <w:highlight w:val="none"/>
              </w:rPr>
              <w:t>合计</w:t>
            </w:r>
          </w:p>
        </w:tc>
        <w:tc>
          <w:tcPr>
            <w:tcW w:w="2434" w:type="dxa"/>
            <w:shd w:val="clear" w:color="auto" w:fill="auto"/>
            <w:vAlign w:val="center"/>
          </w:tcPr>
          <w:p>
            <w:pPr>
              <w:jc w:val="center"/>
              <w:rPr>
                <w:color w:val="000000"/>
                <w:sz w:val="18"/>
                <w:szCs w:val="18"/>
                <w:highlight w:val="none"/>
              </w:rPr>
            </w:pPr>
            <w:r>
              <w:rPr>
                <w:rFonts w:hint="eastAsia"/>
                <w:b/>
                <w:color w:val="000000"/>
                <w:sz w:val="18"/>
                <w:szCs w:val="18"/>
                <w:highlight w:val="none"/>
              </w:rPr>
              <w:t>功能分类</w:t>
            </w:r>
          </w:p>
        </w:tc>
        <w:tc>
          <w:tcPr>
            <w:tcW w:w="1117" w:type="dxa"/>
            <w:shd w:val="clear" w:color="auto" w:fill="auto"/>
            <w:vAlign w:val="center"/>
          </w:tcPr>
          <w:p>
            <w:pPr>
              <w:jc w:val="center"/>
              <w:rPr>
                <w:color w:val="000000"/>
                <w:sz w:val="18"/>
                <w:szCs w:val="18"/>
                <w:highlight w:val="none"/>
              </w:rPr>
            </w:pPr>
            <w:r>
              <w:rPr>
                <w:rFonts w:hint="eastAsia"/>
                <w:b/>
                <w:color w:val="000000"/>
                <w:sz w:val="18"/>
                <w:szCs w:val="18"/>
                <w:highlight w:val="none"/>
              </w:rPr>
              <w:t>合计</w:t>
            </w:r>
          </w:p>
        </w:tc>
        <w:tc>
          <w:tcPr>
            <w:tcW w:w="1063" w:type="dxa"/>
            <w:gridSpan w:val="2"/>
            <w:shd w:val="clear" w:color="auto" w:fill="auto"/>
            <w:vAlign w:val="center"/>
          </w:tcPr>
          <w:p>
            <w:pPr>
              <w:jc w:val="center"/>
              <w:rPr>
                <w:color w:val="000000"/>
                <w:sz w:val="18"/>
                <w:szCs w:val="18"/>
                <w:highlight w:val="none"/>
              </w:rPr>
            </w:pPr>
            <w:r>
              <w:rPr>
                <w:rFonts w:hint="eastAsia"/>
                <w:b/>
                <w:color w:val="000000"/>
                <w:sz w:val="18"/>
                <w:szCs w:val="18"/>
                <w:highlight w:val="none"/>
              </w:rPr>
              <w:t>一般公共预算</w:t>
            </w:r>
          </w:p>
        </w:tc>
        <w:tc>
          <w:tcPr>
            <w:tcW w:w="1063" w:type="dxa"/>
            <w:gridSpan w:val="2"/>
            <w:shd w:val="clear" w:color="auto" w:fill="auto"/>
            <w:vAlign w:val="center"/>
          </w:tcPr>
          <w:p>
            <w:pPr>
              <w:jc w:val="center"/>
              <w:rPr>
                <w:color w:val="000000"/>
                <w:sz w:val="18"/>
                <w:szCs w:val="18"/>
                <w:highlight w:val="none"/>
              </w:rPr>
            </w:pPr>
            <w:r>
              <w:rPr>
                <w:rFonts w:hint="eastAsia"/>
                <w:b/>
                <w:color w:val="000000"/>
                <w:sz w:val="18"/>
                <w:szCs w:val="18"/>
                <w:highlight w:val="none"/>
              </w:rPr>
              <w:t>政府性基金预算</w:t>
            </w:r>
          </w:p>
        </w:tc>
        <w:tc>
          <w:tcPr>
            <w:tcW w:w="1051" w:type="dxa"/>
            <w:shd w:val="clear" w:color="auto" w:fill="auto"/>
            <w:vAlign w:val="center"/>
          </w:tcPr>
          <w:p>
            <w:pPr>
              <w:jc w:val="center"/>
              <w:rPr>
                <w:color w:val="000000"/>
                <w:sz w:val="18"/>
                <w:szCs w:val="18"/>
                <w:highlight w:val="none"/>
              </w:rPr>
            </w:pPr>
            <w:r>
              <w:rPr>
                <w:rFonts w:hint="eastAsia"/>
                <w:b/>
                <w:color w:val="000000"/>
                <w:sz w:val="18"/>
                <w:szCs w:val="18"/>
                <w:highlight w:val="none"/>
              </w:rPr>
              <w:t>国有资本经营预算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rPr>
                <w:rFonts w:hint="default" w:ascii="宋体" w:hAnsi="宋体" w:cs="宋体"/>
                <w:color w:val="000000"/>
                <w:sz w:val="18"/>
                <w:szCs w:val="18"/>
                <w:highlight w:val="none"/>
              </w:rPr>
            </w:pPr>
            <w:r>
              <w:rPr>
                <w:rFonts w:hint="eastAsia"/>
                <w:b/>
                <w:color w:val="000000"/>
                <w:sz w:val="18"/>
                <w:szCs w:val="18"/>
                <w:highlight w:val="none"/>
              </w:rPr>
              <w:t>一、财政拨款（补助）</w:t>
            </w:r>
          </w:p>
        </w:tc>
        <w:tc>
          <w:tcPr>
            <w:tcW w:w="1117" w:type="dxa"/>
            <w:shd w:val="clear" w:color="auto" w:fill="auto"/>
          </w:tcPr>
          <w:p>
            <w:pPr>
              <w:jc w:val="right"/>
              <w:rPr>
                <w:rFonts w:hint="default" w:ascii="宋体" w:hAnsi="宋体"/>
                <w:color w:val="000000"/>
                <w:sz w:val="18"/>
                <w:szCs w:val="18"/>
                <w:highlight w:val="none"/>
              </w:rPr>
            </w:pPr>
            <w:r>
              <w:rPr>
                <w:rFonts w:hint="eastAsia" w:ascii="宋体" w:hAnsi="宋体"/>
                <w:b/>
                <w:color w:val="000000"/>
                <w:sz w:val="18"/>
                <w:szCs w:val="18"/>
                <w:highlight w:val="none"/>
              </w:rPr>
              <w:t>607.40</w:t>
            </w: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201 一般公共服务支出</w:t>
            </w:r>
          </w:p>
        </w:tc>
        <w:tc>
          <w:tcPr>
            <w:tcW w:w="1117" w:type="dxa"/>
            <w:shd w:val="clear" w:color="auto" w:fill="auto"/>
          </w:tcPr>
          <w:p>
            <w:pPr>
              <w:jc w:val="right"/>
              <w:rPr>
                <w:rFonts w:hint="default" w:ascii="宋体" w:hAnsi="宋体"/>
                <w:color w:val="000000"/>
                <w:sz w:val="18"/>
                <w:szCs w:val="18"/>
                <w:highlight w:val="none"/>
              </w:rPr>
            </w:pPr>
          </w:p>
        </w:tc>
        <w:tc>
          <w:tcPr>
            <w:tcW w:w="1063" w:type="dxa"/>
            <w:gridSpan w:val="2"/>
            <w:shd w:val="clear" w:color="auto" w:fill="auto"/>
          </w:tcPr>
          <w:p>
            <w:pPr>
              <w:jc w:val="right"/>
              <w:rPr>
                <w:rFonts w:hint="default" w:ascii="宋体" w:hAnsi="宋体"/>
                <w:color w:val="000000"/>
                <w:sz w:val="18"/>
                <w:szCs w:val="18"/>
                <w:highlight w:val="none"/>
              </w:rPr>
            </w:pPr>
          </w:p>
        </w:tc>
        <w:tc>
          <w:tcPr>
            <w:tcW w:w="1063" w:type="dxa"/>
            <w:gridSpan w:val="2"/>
            <w:shd w:val="clear" w:color="auto" w:fill="auto"/>
          </w:tcPr>
          <w:p>
            <w:pPr>
              <w:jc w:val="right"/>
              <w:rPr>
                <w:rFonts w:hint="default" w:ascii="宋体" w:hAnsi="宋体"/>
                <w:color w:val="000000"/>
                <w:sz w:val="18"/>
                <w:szCs w:val="18"/>
                <w:highlight w:val="none"/>
              </w:rPr>
            </w:pPr>
          </w:p>
        </w:tc>
        <w:tc>
          <w:tcPr>
            <w:tcW w:w="1051" w:type="dxa"/>
            <w:shd w:val="clear" w:color="auto" w:fill="auto"/>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ind w:firstLine="360" w:firstLineChars="200"/>
              <w:rPr>
                <w:rFonts w:hint="default" w:ascii="宋体" w:hAnsi="宋体" w:cs="宋体"/>
                <w:color w:val="000000"/>
                <w:sz w:val="18"/>
                <w:szCs w:val="18"/>
                <w:highlight w:val="none"/>
              </w:rPr>
            </w:pPr>
            <w:r>
              <w:rPr>
                <w:rFonts w:hint="eastAsia"/>
                <w:color w:val="000000"/>
                <w:sz w:val="18"/>
                <w:szCs w:val="18"/>
                <w:highlight w:val="none"/>
              </w:rPr>
              <w:t>一般公共预算</w:t>
            </w:r>
          </w:p>
        </w:tc>
        <w:tc>
          <w:tcPr>
            <w:tcW w:w="1117" w:type="dxa"/>
            <w:shd w:val="clear" w:color="auto" w:fill="auto"/>
          </w:tcPr>
          <w:p>
            <w:pPr>
              <w:jc w:val="right"/>
              <w:rPr>
                <w:rFonts w:hint="default" w:ascii="宋体" w:hAnsi="宋体"/>
                <w:color w:val="000000"/>
                <w:sz w:val="18"/>
                <w:szCs w:val="18"/>
                <w:highlight w:val="none"/>
              </w:rPr>
            </w:pPr>
            <w:r>
              <w:rPr>
                <w:rFonts w:hint="eastAsia" w:ascii="宋体" w:hAnsi="宋体"/>
                <w:color w:val="000000"/>
                <w:sz w:val="18"/>
                <w:szCs w:val="18"/>
                <w:highlight w:val="none"/>
              </w:rPr>
              <w:t>607.40</w:t>
            </w: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202 外交支出</w:t>
            </w:r>
          </w:p>
        </w:tc>
        <w:tc>
          <w:tcPr>
            <w:tcW w:w="1117" w:type="dxa"/>
            <w:shd w:val="clear" w:color="auto" w:fill="auto"/>
          </w:tcPr>
          <w:p>
            <w:pPr>
              <w:jc w:val="right"/>
              <w:rPr>
                <w:rFonts w:hint="default" w:ascii="宋体" w:hAnsi="宋体"/>
                <w:color w:val="000000"/>
                <w:sz w:val="18"/>
                <w:szCs w:val="18"/>
                <w:highlight w:val="none"/>
              </w:rPr>
            </w:pPr>
          </w:p>
        </w:tc>
        <w:tc>
          <w:tcPr>
            <w:tcW w:w="1063" w:type="dxa"/>
            <w:gridSpan w:val="2"/>
            <w:shd w:val="clear" w:color="auto" w:fill="auto"/>
          </w:tcPr>
          <w:p>
            <w:pPr>
              <w:jc w:val="right"/>
              <w:rPr>
                <w:rFonts w:hint="default" w:ascii="宋体" w:hAnsi="宋体"/>
                <w:color w:val="000000"/>
                <w:sz w:val="18"/>
                <w:szCs w:val="18"/>
                <w:highlight w:val="none"/>
              </w:rPr>
            </w:pPr>
          </w:p>
        </w:tc>
        <w:tc>
          <w:tcPr>
            <w:tcW w:w="1063" w:type="dxa"/>
            <w:gridSpan w:val="2"/>
            <w:shd w:val="clear" w:color="auto" w:fill="auto"/>
          </w:tcPr>
          <w:p>
            <w:pPr>
              <w:jc w:val="right"/>
              <w:rPr>
                <w:rFonts w:hint="default" w:ascii="宋体" w:hAnsi="宋体"/>
                <w:color w:val="000000"/>
                <w:sz w:val="18"/>
                <w:szCs w:val="18"/>
                <w:highlight w:val="none"/>
              </w:rPr>
            </w:pPr>
          </w:p>
        </w:tc>
        <w:tc>
          <w:tcPr>
            <w:tcW w:w="1051" w:type="dxa"/>
            <w:shd w:val="clear" w:color="auto" w:fill="auto"/>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ind w:firstLine="360" w:firstLineChars="200"/>
              <w:rPr>
                <w:rFonts w:hint="default" w:ascii="宋体" w:hAnsi="宋体" w:cs="宋体"/>
                <w:color w:val="000000"/>
                <w:sz w:val="18"/>
                <w:szCs w:val="18"/>
                <w:highlight w:val="none"/>
              </w:rPr>
            </w:pPr>
            <w:r>
              <w:rPr>
                <w:rFonts w:hint="eastAsia"/>
                <w:color w:val="000000"/>
                <w:sz w:val="18"/>
                <w:szCs w:val="18"/>
                <w:highlight w:val="none"/>
              </w:rPr>
              <w:t>政府性基金预算</w:t>
            </w:r>
          </w:p>
        </w:tc>
        <w:tc>
          <w:tcPr>
            <w:tcW w:w="1117" w:type="dxa"/>
            <w:shd w:val="clear" w:color="auto" w:fill="auto"/>
          </w:tcPr>
          <w:p>
            <w:pPr>
              <w:jc w:val="right"/>
              <w:rPr>
                <w:rFonts w:hint="default" w:ascii="宋体" w:hAnsi="宋体"/>
                <w:color w:val="000000"/>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203 国防支出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ind w:firstLine="360" w:firstLineChars="200"/>
              <w:rPr>
                <w:rFonts w:hint="default" w:ascii="宋体" w:hAnsi="宋体" w:cs="宋体"/>
                <w:color w:val="000000"/>
                <w:sz w:val="18"/>
                <w:szCs w:val="18"/>
                <w:highlight w:val="none"/>
              </w:rPr>
            </w:pPr>
            <w:r>
              <w:rPr>
                <w:rFonts w:hint="eastAsia"/>
                <w:color w:val="000000"/>
                <w:sz w:val="18"/>
                <w:szCs w:val="18"/>
                <w:highlight w:val="none"/>
              </w:rPr>
              <w:t>国有资本经营预算</w:t>
            </w:r>
          </w:p>
        </w:tc>
        <w:tc>
          <w:tcPr>
            <w:tcW w:w="1117" w:type="dxa"/>
            <w:shd w:val="clear" w:color="auto" w:fill="auto"/>
          </w:tcPr>
          <w:p>
            <w:pPr>
              <w:jc w:val="right"/>
              <w:rPr>
                <w:rFonts w:hint="default" w:ascii="宋体" w:hAnsi="宋体"/>
                <w:color w:val="000000"/>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204 公共安全支出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rPr>
                <w:rFonts w:hint="default" w:ascii="宋体" w:hAnsi="宋体" w:cs="宋体"/>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205 教育支出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rPr>
                <w:rFonts w:hint="default" w:ascii="宋体" w:hAnsi="宋体" w:cs="宋体"/>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206 科学技术支出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rPr>
                <w:rFonts w:hint="default" w:ascii="宋体" w:hAnsi="宋体" w:cs="宋体"/>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207 文化旅游体育与传媒支出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rPr>
                <w:rFonts w:hint="default" w:ascii="宋体" w:hAnsi="宋体" w:cs="宋体"/>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208 社会保障和就业支出</w:t>
            </w:r>
          </w:p>
        </w:tc>
        <w:tc>
          <w:tcPr>
            <w:tcW w:w="1117" w:type="dxa"/>
            <w:shd w:val="clear" w:color="auto" w:fill="auto"/>
            <w:vAlign w:val="center"/>
          </w:tcPr>
          <w:p>
            <w:pPr>
              <w:jc w:val="right"/>
              <w:rPr>
                <w:rFonts w:hint="default" w:ascii="宋体" w:hAnsi="宋体"/>
                <w:color w:val="000000"/>
                <w:sz w:val="18"/>
                <w:szCs w:val="18"/>
                <w:highlight w:val="none"/>
              </w:rPr>
            </w:pPr>
            <w:r>
              <w:rPr>
                <w:rFonts w:hint="eastAsia" w:ascii="宋体" w:hAnsi="宋体"/>
                <w:color w:val="000000"/>
                <w:sz w:val="18"/>
                <w:szCs w:val="18"/>
                <w:highlight w:val="none"/>
              </w:rPr>
              <w:t>77.45</w:t>
            </w:r>
          </w:p>
        </w:tc>
        <w:tc>
          <w:tcPr>
            <w:tcW w:w="1063" w:type="dxa"/>
            <w:gridSpan w:val="2"/>
            <w:shd w:val="clear" w:color="auto" w:fill="auto"/>
            <w:vAlign w:val="center"/>
          </w:tcPr>
          <w:p>
            <w:pPr>
              <w:jc w:val="right"/>
              <w:rPr>
                <w:rFonts w:hint="default" w:ascii="宋体" w:hAnsi="宋体"/>
                <w:color w:val="000000"/>
                <w:sz w:val="18"/>
                <w:szCs w:val="18"/>
                <w:highlight w:val="none"/>
              </w:rPr>
            </w:pPr>
            <w:r>
              <w:rPr>
                <w:rFonts w:hint="eastAsia" w:ascii="宋体" w:hAnsi="宋体"/>
                <w:color w:val="000000"/>
                <w:sz w:val="18"/>
                <w:szCs w:val="18"/>
                <w:highlight w:val="none"/>
              </w:rPr>
              <w:t>77.45</w:t>
            </w: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rPr>
                <w:rFonts w:hint="default" w:ascii="宋体" w:hAnsi="宋体" w:cs="宋体"/>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209 社会保险基金支出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210 卫生健康支出</w:t>
            </w:r>
          </w:p>
        </w:tc>
        <w:tc>
          <w:tcPr>
            <w:tcW w:w="1117" w:type="dxa"/>
            <w:shd w:val="clear" w:color="auto" w:fill="auto"/>
            <w:vAlign w:val="center"/>
          </w:tcPr>
          <w:p>
            <w:pPr>
              <w:jc w:val="right"/>
              <w:rPr>
                <w:rFonts w:hint="default" w:ascii="宋体" w:hAnsi="宋体"/>
                <w:color w:val="000000"/>
                <w:sz w:val="18"/>
                <w:szCs w:val="18"/>
                <w:highlight w:val="none"/>
              </w:rPr>
            </w:pPr>
            <w:r>
              <w:rPr>
                <w:rFonts w:hint="eastAsia" w:ascii="宋体" w:hAnsi="宋体"/>
                <w:color w:val="000000"/>
                <w:sz w:val="18"/>
                <w:szCs w:val="18"/>
                <w:highlight w:val="none"/>
              </w:rPr>
              <w:t>482.62</w:t>
            </w:r>
          </w:p>
        </w:tc>
        <w:tc>
          <w:tcPr>
            <w:tcW w:w="1063" w:type="dxa"/>
            <w:gridSpan w:val="2"/>
            <w:shd w:val="clear" w:color="auto" w:fill="auto"/>
            <w:vAlign w:val="center"/>
          </w:tcPr>
          <w:p>
            <w:pPr>
              <w:jc w:val="right"/>
              <w:rPr>
                <w:rFonts w:hint="default" w:ascii="宋体" w:hAnsi="宋体"/>
                <w:color w:val="000000"/>
                <w:sz w:val="18"/>
                <w:szCs w:val="18"/>
                <w:highlight w:val="none"/>
              </w:rPr>
            </w:pPr>
            <w:r>
              <w:rPr>
                <w:rFonts w:hint="eastAsia" w:ascii="宋体" w:hAnsi="宋体"/>
                <w:color w:val="000000"/>
                <w:sz w:val="18"/>
                <w:szCs w:val="18"/>
                <w:highlight w:val="none"/>
              </w:rPr>
              <w:t>482.62</w:t>
            </w: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211 节能环保支出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212 城乡社区支出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213 农林水支出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214 交通运输支出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215 资源勘探工业信息等支出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216 商业服务业等支出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217 金融支出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219 援助其他地区支出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220 自然资源海洋气象等支出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221 住房保障支出</w:t>
            </w:r>
          </w:p>
        </w:tc>
        <w:tc>
          <w:tcPr>
            <w:tcW w:w="1117" w:type="dxa"/>
            <w:shd w:val="clear" w:color="auto" w:fill="auto"/>
            <w:vAlign w:val="center"/>
          </w:tcPr>
          <w:p>
            <w:pPr>
              <w:jc w:val="right"/>
              <w:rPr>
                <w:rFonts w:hint="default" w:ascii="宋体" w:hAnsi="宋体"/>
                <w:color w:val="000000"/>
                <w:sz w:val="18"/>
                <w:szCs w:val="18"/>
                <w:highlight w:val="none"/>
              </w:rPr>
            </w:pPr>
            <w:r>
              <w:rPr>
                <w:rFonts w:hint="eastAsia" w:ascii="宋体" w:hAnsi="宋体"/>
                <w:color w:val="000000"/>
                <w:sz w:val="18"/>
                <w:szCs w:val="18"/>
                <w:highlight w:val="none"/>
              </w:rPr>
              <w:t>47.33</w:t>
            </w:r>
          </w:p>
        </w:tc>
        <w:tc>
          <w:tcPr>
            <w:tcW w:w="1063" w:type="dxa"/>
            <w:gridSpan w:val="2"/>
            <w:shd w:val="clear" w:color="auto" w:fill="auto"/>
            <w:vAlign w:val="center"/>
          </w:tcPr>
          <w:p>
            <w:pPr>
              <w:jc w:val="right"/>
              <w:rPr>
                <w:rFonts w:hint="default" w:ascii="宋体" w:hAnsi="宋体"/>
                <w:color w:val="000000"/>
                <w:sz w:val="18"/>
                <w:szCs w:val="18"/>
                <w:highlight w:val="none"/>
              </w:rPr>
            </w:pPr>
            <w:r>
              <w:rPr>
                <w:rFonts w:hint="eastAsia" w:ascii="宋体" w:hAnsi="宋体"/>
                <w:color w:val="000000"/>
                <w:sz w:val="18"/>
                <w:szCs w:val="18"/>
                <w:highlight w:val="none"/>
              </w:rPr>
              <w:t>47.33</w:t>
            </w: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222 粮油物资储备支出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223 国有资本经营预算支出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224 灾害防治及应急管理支出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227 预备费</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229 其他支出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230 转移性支出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231 债务还本支出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232 债务付息支出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233 债务发行费用支出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tcPr>
          <w:p>
            <w:pPr>
              <w:rPr>
                <w:rFonts w:hint="default" w:ascii="宋体" w:hAnsi="宋体" w:cs="宋体"/>
                <w:color w:val="000000"/>
                <w:sz w:val="18"/>
                <w:szCs w:val="18"/>
                <w:highlight w:val="none"/>
              </w:rPr>
            </w:pP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jc w:val="center"/>
              <w:rPr>
                <w:color w:val="000000"/>
                <w:sz w:val="18"/>
                <w:szCs w:val="18"/>
                <w:highlight w:val="none"/>
              </w:rPr>
            </w:pPr>
            <w:r>
              <w:rPr>
                <w:rFonts w:hint="eastAsia"/>
                <w:b/>
                <w:color w:val="000000"/>
                <w:sz w:val="18"/>
                <w:szCs w:val="18"/>
                <w:highlight w:val="none"/>
              </w:rPr>
              <w:t>收入总计</w:t>
            </w:r>
          </w:p>
        </w:tc>
        <w:tc>
          <w:tcPr>
            <w:tcW w:w="1117" w:type="dxa"/>
            <w:shd w:val="clear" w:color="auto" w:fill="auto"/>
          </w:tcPr>
          <w:p>
            <w:pPr>
              <w:jc w:val="right"/>
              <w:rPr>
                <w:sz w:val="18"/>
                <w:szCs w:val="18"/>
                <w:highlight w:val="none"/>
              </w:rPr>
            </w:pPr>
            <w:r>
              <w:rPr>
                <w:rFonts w:hint="eastAsia" w:ascii="宋体" w:hAnsi="宋体"/>
                <w:b/>
                <w:color w:val="000000"/>
                <w:sz w:val="18"/>
                <w:szCs w:val="18"/>
                <w:highlight w:val="none"/>
              </w:rPr>
              <w:t>607.40</w:t>
            </w:r>
          </w:p>
        </w:tc>
        <w:tc>
          <w:tcPr>
            <w:tcW w:w="2434" w:type="dxa"/>
            <w:shd w:val="clear" w:color="auto" w:fill="auto"/>
          </w:tcPr>
          <w:p>
            <w:pPr>
              <w:jc w:val="center"/>
              <w:rPr>
                <w:rFonts w:hint="default" w:ascii="宋体" w:hAnsi="宋体" w:cs="宋体"/>
                <w:color w:val="000000"/>
                <w:sz w:val="18"/>
                <w:szCs w:val="18"/>
                <w:highlight w:val="none"/>
              </w:rPr>
            </w:pPr>
            <w:r>
              <w:rPr>
                <w:rFonts w:hint="eastAsia"/>
                <w:b/>
                <w:color w:val="000000"/>
                <w:sz w:val="18"/>
                <w:szCs w:val="18"/>
                <w:highlight w:val="none"/>
              </w:rPr>
              <w:t>支出总计</w:t>
            </w:r>
          </w:p>
        </w:tc>
        <w:tc>
          <w:tcPr>
            <w:tcW w:w="1117" w:type="dxa"/>
            <w:shd w:val="clear" w:color="auto" w:fill="auto"/>
          </w:tcPr>
          <w:p>
            <w:pPr>
              <w:jc w:val="right"/>
              <w:rPr>
                <w:sz w:val="18"/>
                <w:szCs w:val="18"/>
                <w:highlight w:val="none"/>
              </w:rPr>
            </w:pPr>
            <w:r>
              <w:rPr>
                <w:rFonts w:hint="eastAsia" w:ascii="宋体" w:hAnsi="宋体"/>
                <w:b/>
                <w:color w:val="000000"/>
                <w:sz w:val="18"/>
                <w:szCs w:val="18"/>
                <w:highlight w:val="none"/>
              </w:rPr>
              <w:t>607.40</w:t>
            </w:r>
          </w:p>
        </w:tc>
        <w:tc>
          <w:tcPr>
            <w:tcW w:w="1063" w:type="dxa"/>
            <w:gridSpan w:val="2"/>
            <w:shd w:val="clear" w:color="auto" w:fill="auto"/>
          </w:tcPr>
          <w:p>
            <w:pPr>
              <w:jc w:val="right"/>
              <w:rPr>
                <w:sz w:val="18"/>
                <w:szCs w:val="18"/>
                <w:highlight w:val="none"/>
              </w:rPr>
            </w:pPr>
            <w:r>
              <w:rPr>
                <w:rFonts w:hint="eastAsia" w:ascii="宋体" w:hAnsi="宋体"/>
                <w:b/>
                <w:color w:val="000000"/>
                <w:sz w:val="18"/>
                <w:szCs w:val="18"/>
                <w:highlight w:val="none"/>
              </w:rPr>
              <w:t>607.40</w:t>
            </w:r>
          </w:p>
        </w:tc>
        <w:tc>
          <w:tcPr>
            <w:tcW w:w="1063" w:type="dxa"/>
            <w:gridSpan w:val="2"/>
            <w:shd w:val="clear" w:color="auto" w:fill="auto"/>
          </w:tcPr>
          <w:p>
            <w:pPr>
              <w:jc w:val="right"/>
              <w:rPr>
                <w:sz w:val="18"/>
                <w:szCs w:val="18"/>
                <w:highlight w:val="none"/>
              </w:rPr>
            </w:pPr>
          </w:p>
        </w:tc>
        <w:tc>
          <w:tcPr>
            <w:tcW w:w="1051" w:type="dxa"/>
            <w:shd w:val="clear" w:color="auto" w:fill="auto"/>
          </w:tcPr>
          <w:p>
            <w:pPr>
              <w:jc w:val="right"/>
              <w:rPr>
                <w:sz w:val="18"/>
                <w:szCs w:val="18"/>
                <w:highlight w:val="none"/>
              </w:rPr>
            </w:pPr>
          </w:p>
        </w:tc>
      </w:tr>
    </w:tbl>
    <w:p>
      <w:pPr>
        <w:widowControl/>
        <w:jc w:val="left"/>
        <w:rPr>
          <w:rFonts w:hint="default" w:ascii="仿宋" w:eastAsia="仿宋"/>
          <w:b/>
          <w:color w:val="000000"/>
          <w:szCs w:val="21"/>
          <w:highlight w:val="none"/>
        </w:rPr>
        <w:sectPr>
          <w:pgSz w:w="11906" w:h="16838"/>
          <w:pgMar w:top="1134" w:right="1134" w:bottom="1134" w:left="1134" w:header="851" w:footer="992" w:gutter="0"/>
          <w:cols w:space="425" w:num="1"/>
          <w:docGrid w:type="lines" w:linePitch="312" w:charSpace="0"/>
        </w:sectPr>
      </w:pPr>
    </w:p>
    <w:p>
      <w:pPr>
        <w:rPr>
          <w:highlight w:val="none"/>
        </w:rPr>
      </w:pPr>
      <w:r>
        <w:rPr>
          <w:rFonts w:hint="eastAsia" w:ascii="宋体" w:hAnsi="宋体"/>
          <w:color w:val="000000"/>
          <w:sz w:val="18"/>
          <w:szCs w:val="18"/>
          <w:highlight w:val="none"/>
        </w:rPr>
        <w:t>表5</w:t>
      </w:r>
    </w:p>
    <w:p>
      <w:pPr>
        <w:jc w:val="center"/>
        <w:rPr>
          <w:rFonts w:hint="default" w:ascii="仿宋" w:hAnsi="宋体" w:eastAsia="仿宋"/>
          <w:b/>
          <w:color w:val="000000"/>
          <w:sz w:val="28"/>
          <w:szCs w:val="28"/>
          <w:highlight w:val="none"/>
        </w:rPr>
      </w:pPr>
      <w:r>
        <w:rPr>
          <w:rFonts w:hint="eastAsia" w:ascii="仿宋" w:hAnsi="宋体" w:eastAsia="仿宋"/>
          <w:b/>
          <w:color w:val="000000"/>
          <w:sz w:val="28"/>
          <w:szCs w:val="28"/>
          <w:highlight w:val="none"/>
        </w:rPr>
        <w:t>一般公共预算支出情况表</w:t>
      </w:r>
    </w:p>
    <w:tbl>
      <w:tblPr>
        <w:tblStyle w:val="7"/>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534"/>
        <w:gridCol w:w="567"/>
        <w:gridCol w:w="567"/>
        <w:gridCol w:w="4026"/>
        <w:gridCol w:w="1367"/>
        <w:gridCol w:w="1085"/>
        <w:gridCol w:w="281"/>
        <w:gridCol w:w="1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42" w:hRule="atLeast"/>
          <w:tblHeader/>
        </w:trPr>
        <w:tc>
          <w:tcPr>
            <w:tcW w:w="8146" w:type="dxa"/>
            <w:gridSpan w:val="6"/>
            <w:tcBorders>
              <w:top w:val="nil"/>
              <w:left w:val="nil"/>
              <w:right w:val="nil"/>
            </w:tcBorders>
            <w:shd w:val="clear" w:color="auto" w:fill="auto"/>
            <w:vAlign w:val="center"/>
          </w:tcPr>
          <w:p>
            <w:pPr>
              <w:jc w:val="left"/>
              <w:rPr>
                <w:sz w:val="18"/>
                <w:szCs w:val="18"/>
                <w:highlight w:val="none"/>
              </w:rPr>
            </w:pPr>
            <w:r>
              <w:rPr>
                <w:rFonts w:hint="eastAsia"/>
                <w:color w:val="000000"/>
                <w:sz w:val="18"/>
                <w:szCs w:val="18"/>
                <w:highlight w:val="none"/>
              </w:rPr>
              <w:t>编制部门：皮山县木奎拉乡卫生院</w:t>
            </w:r>
          </w:p>
        </w:tc>
        <w:tc>
          <w:tcPr>
            <w:tcW w:w="1708" w:type="dxa"/>
            <w:gridSpan w:val="2"/>
            <w:tcBorders>
              <w:top w:val="nil"/>
              <w:left w:val="nil"/>
              <w:right w:val="nil"/>
            </w:tcBorders>
            <w:shd w:val="clear" w:color="auto" w:fill="auto"/>
            <w:vAlign w:val="center"/>
          </w:tcPr>
          <w:p>
            <w:pPr>
              <w:jc w:val="right"/>
              <w:rPr>
                <w:sz w:val="18"/>
                <w:szCs w:val="18"/>
                <w:highlight w:val="none"/>
              </w:rPr>
            </w:pPr>
            <w:r>
              <w:rPr>
                <w:rFonts w:hint="eastAsia"/>
                <w:color w:val="000000"/>
                <w:sz w:val="18"/>
                <w:szCs w:val="18"/>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42" w:hRule="atLeast"/>
          <w:tblHeader/>
        </w:trPr>
        <w:tc>
          <w:tcPr>
            <w:tcW w:w="5694" w:type="dxa"/>
            <w:gridSpan w:val="4"/>
            <w:shd w:val="clear" w:color="auto" w:fill="auto"/>
            <w:vAlign w:val="center"/>
          </w:tcPr>
          <w:p>
            <w:pPr>
              <w:jc w:val="center"/>
              <w:rPr>
                <w:sz w:val="18"/>
                <w:szCs w:val="18"/>
                <w:highlight w:val="none"/>
              </w:rPr>
            </w:pPr>
            <w:r>
              <w:rPr>
                <w:rFonts w:hint="eastAsia"/>
                <w:sz w:val="18"/>
                <w:szCs w:val="18"/>
                <w:highlight w:val="none"/>
              </w:rPr>
              <w:t>科目</w:t>
            </w:r>
          </w:p>
        </w:tc>
        <w:tc>
          <w:tcPr>
            <w:tcW w:w="4160" w:type="dxa"/>
            <w:gridSpan w:val="4"/>
            <w:shd w:val="clear" w:color="auto" w:fill="auto"/>
            <w:vAlign w:val="center"/>
          </w:tcPr>
          <w:p>
            <w:pPr>
              <w:jc w:val="center"/>
              <w:rPr>
                <w:sz w:val="18"/>
                <w:szCs w:val="18"/>
                <w:highlight w:val="none"/>
              </w:rPr>
            </w:pPr>
            <w:r>
              <w:rPr>
                <w:rFonts w:hint="eastAsia"/>
                <w:sz w:val="18"/>
                <w:szCs w:val="18"/>
                <w:highlight w:val="none"/>
              </w:rPr>
              <w:t>一般公共预算支出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04" w:hRule="atLeast"/>
          <w:tblHeader/>
        </w:trPr>
        <w:tc>
          <w:tcPr>
            <w:tcW w:w="1668" w:type="dxa"/>
            <w:gridSpan w:val="3"/>
            <w:shd w:val="clear" w:color="auto" w:fill="auto"/>
            <w:vAlign w:val="center"/>
          </w:tcPr>
          <w:p>
            <w:pPr>
              <w:jc w:val="center"/>
              <w:rPr>
                <w:sz w:val="18"/>
                <w:szCs w:val="18"/>
                <w:highlight w:val="none"/>
              </w:rPr>
            </w:pPr>
            <w:r>
              <w:rPr>
                <w:rFonts w:hint="eastAsia"/>
                <w:sz w:val="18"/>
                <w:szCs w:val="18"/>
                <w:highlight w:val="none"/>
              </w:rPr>
              <w:t>功能分类科目编码</w:t>
            </w:r>
          </w:p>
        </w:tc>
        <w:tc>
          <w:tcPr>
            <w:tcW w:w="4026" w:type="dxa"/>
            <w:vMerge w:val="restart"/>
            <w:shd w:val="clear" w:color="auto" w:fill="auto"/>
            <w:vAlign w:val="center"/>
          </w:tcPr>
          <w:p>
            <w:pPr>
              <w:jc w:val="center"/>
              <w:rPr>
                <w:sz w:val="18"/>
                <w:szCs w:val="18"/>
                <w:highlight w:val="none"/>
              </w:rPr>
            </w:pPr>
            <w:r>
              <w:rPr>
                <w:rFonts w:hint="eastAsia"/>
                <w:sz w:val="18"/>
                <w:szCs w:val="18"/>
                <w:highlight w:val="none"/>
              </w:rPr>
              <w:t>功能分类科目名称</w:t>
            </w:r>
          </w:p>
        </w:tc>
        <w:tc>
          <w:tcPr>
            <w:tcW w:w="1367" w:type="dxa"/>
            <w:vMerge w:val="restart"/>
            <w:shd w:val="clear" w:color="auto" w:fill="auto"/>
            <w:vAlign w:val="center"/>
          </w:tcPr>
          <w:p>
            <w:pPr>
              <w:jc w:val="center"/>
              <w:rPr>
                <w:sz w:val="18"/>
                <w:szCs w:val="18"/>
                <w:highlight w:val="none"/>
              </w:rPr>
            </w:pPr>
            <w:r>
              <w:rPr>
                <w:rFonts w:hint="eastAsia"/>
                <w:sz w:val="18"/>
                <w:szCs w:val="18"/>
                <w:highlight w:val="none"/>
              </w:rPr>
              <w:t>合计</w:t>
            </w:r>
          </w:p>
        </w:tc>
        <w:tc>
          <w:tcPr>
            <w:tcW w:w="1366" w:type="dxa"/>
            <w:gridSpan w:val="2"/>
            <w:vMerge w:val="restart"/>
            <w:shd w:val="clear" w:color="auto" w:fill="auto"/>
            <w:vAlign w:val="center"/>
          </w:tcPr>
          <w:p>
            <w:pPr>
              <w:jc w:val="center"/>
              <w:rPr>
                <w:sz w:val="18"/>
                <w:szCs w:val="18"/>
                <w:highlight w:val="none"/>
              </w:rPr>
            </w:pPr>
            <w:r>
              <w:rPr>
                <w:rFonts w:hint="eastAsia"/>
                <w:sz w:val="18"/>
                <w:szCs w:val="18"/>
                <w:highlight w:val="none"/>
              </w:rPr>
              <w:t>基本支出</w:t>
            </w:r>
          </w:p>
        </w:tc>
        <w:tc>
          <w:tcPr>
            <w:tcW w:w="1427" w:type="dxa"/>
            <w:vMerge w:val="restart"/>
            <w:shd w:val="clear" w:color="auto" w:fill="auto"/>
            <w:vAlign w:val="center"/>
          </w:tcPr>
          <w:p>
            <w:pPr>
              <w:jc w:val="center"/>
              <w:rPr>
                <w:sz w:val="18"/>
                <w:szCs w:val="18"/>
                <w:highlight w:val="none"/>
              </w:rPr>
            </w:pPr>
            <w:r>
              <w:rPr>
                <w:rFonts w:hint="eastAsia"/>
                <w:sz w:val="18"/>
                <w:szCs w:val="18"/>
                <w:highlight w:val="none"/>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70" w:hRule="atLeast"/>
          <w:tblHeader/>
        </w:trPr>
        <w:tc>
          <w:tcPr>
            <w:tcW w:w="534" w:type="dxa"/>
            <w:shd w:val="clear" w:color="auto" w:fill="auto"/>
            <w:vAlign w:val="center"/>
          </w:tcPr>
          <w:p>
            <w:pPr>
              <w:jc w:val="center"/>
              <w:rPr>
                <w:sz w:val="18"/>
                <w:szCs w:val="18"/>
                <w:highlight w:val="none"/>
              </w:rPr>
            </w:pPr>
            <w:r>
              <w:rPr>
                <w:rFonts w:hint="eastAsia"/>
                <w:sz w:val="18"/>
                <w:szCs w:val="18"/>
                <w:highlight w:val="none"/>
              </w:rPr>
              <w:t>类</w:t>
            </w:r>
          </w:p>
        </w:tc>
        <w:tc>
          <w:tcPr>
            <w:tcW w:w="567" w:type="dxa"/>
            <w:shd w:val="clear" w:color="auto" w:fill="auto"/>
            <w:vAlign w:val="center"/>
          </w:tcPr>
          <w:p>
            <w:pPr>
              <w:jc w:val="center"/>
              <w:rPr>
                <w:sz w:val="18"/>
                <w:szCs w:val="18"/>
                <w:highlight w:val="none"/>
              </w:rPr>
            </w:pPr>
            <w:r>
              <w:rPr>
                <w:rFonts w:hint="eastAsia"/>
                <w:sz w:val="18"/>
                <w:szCs w:val="18"/>
                <w:highlight w:val="none"/>
              </w:rPr>
              <w:t>款</w:t>
            </w:r>
          </w:p>
        </w:tc>
        <w:tc>
          <w:tcPr>
            <w:tcW w:w="567" w:type="dxa"/>
            <w:shd w:val="clear" w:color="auto" w:fill="auto"/>
            <w:vAlign w:val="center"/>
          </w:tcPr>
          <w:p>
            <w:pPr>
              <w:jc w:val="center"/>
              <w:rPr>
                <w:sz w:val="18"/>
                <w:szCs w:val="18"/>
                <w:highlight w:val="none"/>
              </w:rPr>
            </w:pPr>
            <w:r>
              <w:rPr>
                <w:rFonts w:hint="eastAsia"/>
                <w:sz w:val="18"/>
                <w:szCs w:val="18"/>
                <w:highlight w:val="none"/>
              </w:rPr>
              <w:t>项</w:t>
            </w:r>
          </w:p>
        </w:tc>
        <w:tc>
          <w:tcPr>
            <w:tcW w:w="4026" w:type="dxa"/>
            <w:vMerge w:val="continue"/>
            <w:shd w:val="clear" w:color="auto" w:fill="auto"/>
            <w:vAlign w:val="center"/>
          </w:tcPr>
          <w:p>
            <w:pPr>
              <w:jc w:val="center"/>
              <w:rPr>
                <w:sz w:val="18"/>
                <w:szCs w:val="18"/>
                <w:highlight w:val="none"/>
              </w:rPr>
            </w:pPr>
          </w:p>
        </w:tc>
        <w:tc>
          <w:tcPr>
            <w:tcW w:w="1367" w:type="dxa"/>
            <w:vMerge w:val="continue"/>
            <w:shd w:val="clear" w:color="auto" w:fill="auto"/>
            <w:vAlign w:val="center"/>
          </w:tcPr>
          <w:p>
            <w:pPr>
              <w:jc w:val="center"/>
              <w:rPr>
                <w:sz w:val="18"/>
                <w:szCs w:val="18"/>
                <w:highlight w:val="none"/>
              </w:rPr>
            </w:pPr>
          </w:p>
        </w:tc>
        <w:tc>
          <w:tcPr>
            <w:tcW w:w="1366" w:type="dxa"/>
            <w:gridSpan w:val="2"/>
            <w:vMerge w:val="continue"/>
            <w:shd w:val="clear" w:color="auto" w:fill="auto"/>
            <w:vAlign w:val="center"/>
          </w:tcPr>
          <w:p>
            <w:pPr>
              <w:jc w:val="center"/>
              <w:rPr>
                <w:sz w:val="18"/>
                <w:szCs w:val="18"/>
                <w:highlight w:val="none"/>
              </w:rPr>
            </w:pPr>
          </w:p>
        </w:tc>
        <w:tc>
          <w:tcPr>
            <w:tcW w:w="1427" w:type="dxa"/>
            <w:vMerge w:val="continue"/>
            <w:shd w:val="clear" w:color="auto" w:fill="auto"/>
            <w:vAlign w:val="center"/>
          </w:tcPr>
          <w:p>
            <w:pPr>
              <w:jc w:val="center"/>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2" w:hRule="atLeast"/>
          <w:tblHeader/>
        </w:trPr>
        <w:tc>
          <w:tcPr>
            <w:tcW w:w="534"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567"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567"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4026"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1367" w:type="dxa"/>
            <w:shd w:val="clear" w:color="auto" w:fill="auto"/>
            <w:vAlign w:val="center"/>
          </w:tcPr>
          <w:p>
            <w:pPr>
              <w:jc w:val="center"/>
              <w:rPr>
                <w:sz w:val="18"/>
                <w:szCs w:val="18"/>
                <w:highlight w:val="none"/>
              </w:rPr>
            </w:pPr>
            <w:r>
              <w:rPr>
                <w:rFonts w:hint="eastAsia"/>
                <w:sz w:val="18"/>
                <w:szCs w:val="18"/>
                <w:highlight w:val="none"/>
              </w:rPr>
              <w:t>1</w:t>
            </w:r>
          </w:p>
        </w:tc>
        <w:tc>
          <w:tcPr>
            <w:tcW w:w="1366" w:type="dxa"/>
            <w:gridSpan w:val="2"/>
            <w:shd w:val="clear" w:color="auto" w:fill="auto"/>
            <w:vAlign w:val="center"/>
          </w:tcPr>
          <w:p>
            <w:pPr>
              <w:jc w:val="center"/>
              <w:rPr>
                <w:sz w:val="18"/>
                <w:szCs w:val="18"/>
                <w:highlight w:val="none"/>
              </w:rPr>
            </w:pPr>
            <w:r>
              <w:rPr>
                <w:rFonts w:hint="eastAsia"/>
                <w:sz w:val="18"/>
                <w:szCs w:val="18"/>
                <w:highlight w:val="none"/>
              </w:rPr>
              <w:t>2</w:t>
            </w:r>
          </w:p>
        </w:tc>
        <w:tc>
          <w:tcPr>
            <w:tcW w:w="1427" w:type="dxa"/>
            <w:shd w:val="clear" w:color="auto" w:fill="auto"/>
            <w:vAlign w:val="center"/>
          </w:tcPr>
          <w:p>
            <w:pPr>
              <w:jc w:val="center"/>
              <w:rPr>
                <w:sz w:val="18"/>
                <w:szCs w:val="18"/>
                <w:highlight w:val="none"/>
              </w:rPr>
            </w:pPr>
            <w:r>
              <w:rPr>
                <w:rFonts w:hint="eastAsia"/>
                <w:sz w:val="18"/>
                <w:szCs w:val="18"/>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highlight w:val="none"/>
              </w:rPr>
            </w:pPr>
          </w:p>
        </w:tc>
        <w:tc>
          <w:tcPr>
            <w:tcW w:w="567" w:type="dxa"/>
            <w:shd w:val="clear" w:color="auto" w:fill="auto"/>
            <w:vAlign w:val="center"/>
          </w:tcPr>
          <w:p>
            <w:pPr>
              <w:jc w:val="center"/>
              <w:rPr>
                <w:b/>
                <w:sz w:val="18"/>
                <w:szCs w:val="18"/>
                <w:highlight w:val="none"/>
              </w:rPr>
            </w:pPr>
          </w:p>
        </w:tc>
        <w:tc>
          <w:tcPr>
            <w:tcW w:w="567" w:type="dxa"/>
            <w:shd w:val="clear" w:color="auto" w:fill="auto"/>
            <w:vAlign w:val="center"/>
          </w:tcPr>
          <w:p>
            <w:pPr>
              <w:jc w:val="center"/>
              <w:rPr>
                <w:b/>
                <w:sz w:val="18"/>
                <w:szCs w:val="18"/>
                <w:highlight w:val="none"/>
              </w:rPr>
            </w:pPr>
          </w:p>
        </w:tc>
        <w:tc>
          <w:tcPr>
            <w:tcW w:w="4026" w:type="dxa"/>
            <w:shd w:val="clear" w:color="auto" w:fill="auto"/>
            <w:vAlign w:val="center"/>
          </w:tcPr>
          <w:p>
            <w:pPr>
              <w:jc w:val="center"/>
              <w:rPr>
                <w:b/>
                <w:sz w:val="18"/>
                <w:szCs w:val="18"/>
                <w:highlight w:val="none"/>
              </w:rPr>
            </w:pPr>
            <w:r>
              <w:rPr>
                <w:rFonts w:hint="eastAsia" w:ascii="宋体" w:hAnsi="宋体"/>
                <w:b/>
                <w:color w:val="000000"/>
                <w:sz w:val="18"/>
                <w:szCs w:val="18"/>
                <w:highlight w:val="none"/>
              </w:rPr>
              <w:t>总计</w:t>
            </w:r>
          </w:p>
        </w:tc>
        <w:tc>
          <w:tcPr>
            <w:tcW w:w="1367"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607.40</w:t>
            </w:r>
          </w:p>
        </w:tc>
        <w:tc>
          <w:tcPr>
            <w:tcW w:w="136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607.40</w:t>
            </w:r>
          </w:p>
        </w:tc>
        <w:tc>
          <w:tcPr>
            <w:tcW w:w="1427"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highlight w:val="none"/>
              </w:rPr>
            </w:pPr>
            <w:r>
              <w:rPr>
                <w:rFonts w:hint="eastAsia" w:ascii="宋体" w:hAnsi="宋体"/>
                <w:b/>
                <w:color w:val="000000"/>
                <w:sz w:val="18"/>
                <w:szCs w:val="18"/>
                <w:highlight w:val="none"/>
              </w:rPr>
              <w:t>208</w:t>
            </w:r>
          </w:p>
        </w:tc>
        <w:tc>
          <w:tcPr>
            <w:tcW w:w="567" w:type="dxa"/>
            <w:shd w:val="clear" w:color="auto" w:fill="auto"/>
            <w:vAlign w:val="center"/>
          </w:tcPr>
          <w:p>
            <w:pPr>
              <w:jc w:val="center"/>
              <w:rPr>
                <w:b/>
                <w:sz w:val="18"/>
                <w:szCs w:val="18"/>
                <w:highlight w:val="none"/>
              </w:rPr>
            </w:pPr>
          </w:p>
        </w:tc>
        <w:tc>
          <w:tcPr>
            <w:tcW w:w="567" w:type="dxa"/>
            <w:shd w:val="clear" w:color="auto" w:fill="auto"/>
            <w:vAlign w:val="center"/>
          </w:tcPr>
          <w:p>
            <w:pPr>
              <w:jc w:val="center"/>
              <w:rPr>
                <w:b/>
                <w:sz w:val="18"/>
                <w:szCs w:val="18"/>
                <w:highlight w:val="none"/>
              </w:rPr>
            </w:pPr>
          </w:p>
        </w:tc>
        <w:tc>
          <w:tcPr>
            <w:tcW w:w="4026" w:type="dxa"/>
            <w:shd w:val="clear" w:color="auto" w:fill="auto"/>
            <w:vAlign w:val="center"/>
          </w:tcPr>
          <w:p>
            <w:pPr>
              <w:jc w:val="left"/>
              <w:rPr>
                <w:b/>
                <w:sz w:val="18"/>
                <w:szCs w:val="18"/>
                <w:highlight w:val="none"/>
              </w:rPr>
            </w:pPr>
            <w:r>
              <w:rPr>
                <w:rFonts w:hint="eastAsia" w:ascii="宋体" w:hAnsi="宋体"/>
                <w:b/>
                <w:color w:val="000000"/>
                <w:sz w:val="18"/>
                <w:szCs w:val="18"/>
                <w:highlight w:val="none"/>
              </w:rPr>
              <w:t>社会保障和就业支出</w:t>
            </w:r>
          </w:p>
        </w:tc>
        <w:tc>
          <w:tcPr>
            <w:tcW w:w="1367"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77.45</w:t>
            </w:r>
          </w:p>
        </w:tc>
        <w:tc>
          <w:tcPr>
            <w:tcW w:w="136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77.45</w:t>
            </w:r>
          </w:p>
        </w:tc>
        <w:tc>
          <w:tcPr>
            <w:tcW w:w="1427"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highlight w:val="none"/>
              </w:rPr>
            </w:pPr>
            <w:r>
              <w:rPr>
                <w:rFonts w:hint="eastAsia" w:ascii="宋体" w:hAnsi="宋体"/>
                <w:b/>
                <w:color w:val="000000"/>
                <w:sz w:val="18"/>
                <w:szCs w:val="18"/>
                <w:highlight w:val="none"/>
              </w:rPr>
              <w:t>208</w:t>
            </w:r>
          </w:p>
        </w:tc>
        <w:tc>
          <w:tcPr>
            <w:tcW w:w="567" w:type="dxa"/>
            <w:shd w:val="clear" w:color="auto" w:fill="auto"/>
            <w:vAlign w:val="center"/>
          </w:tcPr>
          <w:p>
            <w:pPr>
              <w:jc w:val="center"/>
              <w:rPr>
                <w:b/>
                <w:sz w:val="18"/>
                <w:szCs w:val="18"/>
                <w:highlight w:val="none"/>
              </w:rPr>
            </w:pPr>
            <w:r>
              <w:rPr>
                <w:rFonts w:hint="eastAsia" w:ascii="宋体" w:hAnsi="宋体"/>
                <w:b/>
                <w:color w:val="000000"/>
                <w:sz w:val="18"/>
                <w:szCs w:val="18"/>
                <w:highlight w:val="none"/>
              </w:rPr>
              <w:t>05</w:t>
            </w:r>
          </w:p>
        </w:tc>
        <w:tc>
          <w:tcPr>
            <w:tcW w:w="567" w:type="dxa"/>
            <w:shd w:val="clear" w:color="auto" w:fill="auto"/>
            <w:vAlign w:val="center"/>
          </w:tcPr>
          <w:p>
            <w:pPr>
              <w:jc w:val="center"/>
              <w:rPr>
                <w:b/>
                <w:sz w:val="18"/>
                <w:szCs w:val="18"/>
                <w:highlight w:val="none"/>
              </w:rPr>
            </w:pPr>
          </w:p>
        </w:tc>
        <w:tc>
          <w:tcPr>
            <w:tcW w:w="4026" w:type="dxa"/>
            <w:shd w:val="clear" w:color="auto" w:fill="auto"/>
            <w:vAlign w:val="center"/>
          </w:tcPr>
          <w:p>
            <w:pPr>
              <w:jc w:val="left"/>
              <w:rPr>
                <w:b/>
                <w:sz w:val="18"/>
                <w:szCs w:val="18"/>
                <w:highlight w:val="none"/>
              </w:rPr>
            </w:pPr>
            <w:r>
              <w:rPr>
                <w:rFonts w:hint="eastAsia" w:ascii="宋体" w:hAnsi="宋体"/>
                <w:b/>
                <w:color w:val="000000"/>
                <w:sz w:val="18"/>
                <w:szCs w:val="18"/>
                <w:highlight w:val="none"/>
              </w:rPr>
              <w:t xml:space="preserve">  行政事业单位养老支出</w:t>
            </w:r>
          </w:p>
        </w:tc>
        <w:tc>
          <w:tcPr>
            <w:tcW w:w="1367"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77.45</w:t>
            </w:r>
          </w:p>
        </w:tc>
        <w:tc>
          <w:tcPr>
            <w:tcW w:w="136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77.45</w:t>
            </w:r>
          </w:p>
        </w:tc>
        <w:tc>
          <w:tcPr>
            <w:tcW w:w="1427"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sz w:val="18"/>
                <w:szCs w:val="18"/>
                <w:highlight w:val="none"/>
              </w:rPr>
            </w:pPr>
            <w:r>
              <w:rPr>
                <w:rFonts w:hint="eastAsia" w:ascii="宋体" w:hAnsi="宋体"/>
                <w:color w:val="000000"/>
                <w:sz w:val="18"/>
                <w:szCs w:val="18"/>
                <w:highlight w:val="none"/>
              </w:rPr>
              <w:t>208</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05</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02</w:t>
            </w:r>
          </w:p>
        </w:tc>
        <w:tc>
          <w:tcPr>
            <w:tcW w:w="4026" w:type="dxa"/>
            <w:shd w:val="clear" w:color="auto" w:fill="auto"/>
            <w:vAlign w:val="center"/>
          </w:tcPr>
          <w:p>
            <w:pPr>
              <w:jc w:val="left"/>
              <w:rPr>
                <w:sz w:val="18"/>
                <w:szCs w:val="18"/>
                <w:highlight w:val="none"/>
              </w:rPr>
            </w:pPr>
            <w:r>
              <w:rPr>
                <w:rFonts w:hint="eastAsia" w:ascii="宋体" w:hAnsi="宋体"/>
                <w:color w:val="000000"/>
                <w:sz w:val="18"/>
                <w:szCs w:val="18"/>
                <w:highlight w:val="none"/>
              </w:rPr>
              <w:t xml:space="preserve">    事业单位离退休</w:t>
            </w:r>
          </w:p>
        </w:tc>
        <w:tc>
          <w:tcPr>
            <w:tcW w:w="1367" w:type="dxa"/>
            <w:shd w:val="clear" w:color="auto" w:fill="auto"/>
            <w:vAlign w:val="center"/>
          </w:tcPr>
          <w:p>
            <w:pPr>
              <w:jc w:val="right"/>
              <w:rPr>
                <w:sz w:val="18"/>
                <w:szCs w:val="18"/>
                <w:highlight w:val="none"/>
              </w:rPr>
            </w:pPr>
            <w:r>
              <w:rPr>
                <w:rFonts w:hint="eastAsia" w:ascii="宋体" w:hAnsi="宋体"/>
                <w:color w:val="000000"/>
                <w:sz w:val="18"/>
                <w:szCs w:val="18"/>
                <w:highlight w:val="none"/>
              </w:rPr>
              <w:t>4.34</w:t>
            </w:r>
          </w:p>
        </w:tc>
        <w:tc>
          <w:tcPr>
            <w:tcW w:w="1366" w:type="dxa"/>
            <w:gridSpan w:val="2"/>
            <w:shd w:val="clear" w:color="auto" w:fill="auto"/>
            <w:vAlign w:val="center"/>
          </w:tcPr>
          <w:p>
            <w:pPr>
              <w:jc w:val="right"/>
              <w:rPr>
                <w:sz w:val="18"/>
                <w:szCs w:val="18"/>
                <w:highlight w:val="none"/>
              </w:rPr>
            </w:pPr>
            <w:r>
              <w:rPr>
                <w:rFonts w:hint="eastAsia" w:ascii="宋体" w:hAnsi="宋体"/>
                <w:color w:val="000000"/>
                <w:sz w:val="18"/>
                <w:szCs w:val="18"/>
                <w:highlight w:val="none"/>
              </w:rPr>
              <w:t>4.34</w:t>
            </w:r>
          </w:p>
        </w:tc>
        <w:tc>
          <w:tcPr>
            <w:tcW w:w="1427"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sz w:val="18"/>
                <w:szCs w:val="18"/>
                <w:highlight w:val="none"/>
              </w:rPr>
            </w:pPr>
            <w:r>
              <w:rPr>
                <w:rFonts w:hint="eastAsia" w:ascii="宋体" w:hAnsi="宋体"/>
                <w:color w:val="000000"/>
                <w:sz w:val="18"/>
                <w:szCs w:val="18"/>
                <w:highlight w:val="none"/>
              </w:rPr>
              <w:t>208</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05</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05</w:t>
            </w:r>
          </w:p>
        </w:tc>
        <w:tc>
          <w:tcPr>
            <w:tcW w:w="4026" w:type="dxa"/>
            <w:shd w:val="clear" w:color="auto" w:fill="auto"/>
            <w:vAlign w:val="center"/>
          </w:tcPr>
          <w:p>
            <w:pPr>
              <w:jc w:val="left"/>
              <w:rPr>
                <w:sz w:val="18"/>
                <w:szCs w:val="18"/>
                <w:highlight w:val="none"/>
              </w:rPr>
            </w:pPr>
            <w:r>
              <w:rPr>
                <w:rFonts w:hint="eastAsia" w:ascii="宋体" w:hAnsi="宋体"/>
                <w:color w:val="000000"/>
                <w:sz w:val="18"/>
                <w:szCs w:val="18"/>
                <w:highlight w:val="none"/>
              </w:rPr>
              <w:t xml:space="preserve">    机关事业单位基本养老保险缴费支出</w:t>
            </w:r>
          </w:p>
        </w:tc>
        <w:tc>
          <w:tcPr>
            <w:tcW w:w="1367" w:type="dxa"/>
            <w:shd w:val="clear" w:color="auto" w:fill="auto"/>
            <w:vAlign w:val="center"/>
          </w:tcPr>
          <w:p>
            <w:pPr>
              <w:jc w:val="right"/>
              <w:rPr>
                <w:sz w:val="18"/>
                <w:szCs w:val="18"/>
                <w:highlight w:val="none"/>
              </w:rPr>
            </w:pPr>
            <w:r>
              <w:rPr>
                <w:rFonts w:hint="eastAsia" w:ascii="宋体" w:hAnsi="宋体"/>
                <w:color w:val="000000"/>
                <w:sz w:val="18"/>
                <w:szCs w:val="18"/>
                <w:highlight w:val="none"/>
              </w:rPr>
              <w:t>63.10</w:t>
            </w:r>
          </w:p>
        </w:tc>
        <w:tc>
          <w:tcPr>
            <w:tcW w:w="1366" w:type="dxa"/>
            <w:gridSpan w:val="2"/>
            <w:shd w:val="clear" w:color="auto" w:fill="auto"/>
            <w:vAlign w:val="center"/>
          </w:tcPr>
          <w:p>
            <w:pPr>
              <w:jc w:val="right"/>
              <w:rPr>
                <w:sz w:val="18"/>
                <w:szCs w:val="18"/>
                <w:highlight w:val="none"/>
              </w:rPr>
            </w:pPr>
            <w:r>
              <w:rPr>
                <w:rFonts w:hint="eastAsia" w:ascii="宋体" w:hAnsi="宋体"/>
                <w:color w:val="000000"/>
                <w:sz w:val="18"/>
                <w:szCs w:val="18"/>
                <w:highlight w:val="none"/>
              </w:rPr>
              <w:t>63.10</w:t>
            </w:r>
          </w:p>
        </w:tc>
        <w:tc>
          <w:tcPr>
            <w:tcW w:w="1427"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sz w:val="18"/>
                <w:szCs w:val="18"/>
                <w:highlight w:val="none"/>
              </w:rPr>
            </w:pPr>
            <w:r>
              <w:rPr>
                <w:rFonts w:hint="eastAsia" w:ascii="宋体" w:hAnsi="宋体"/>
                <w:color w:val="000000"/>
                <w:sz w:val="18"/>
                <w:szCs w:val="18"/>
                <w:highlight w:val="none"/>
              </w:rPr>
              <w:t>208</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05</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06</w:t>
            </w:r>
          </w:p>
        </w:tc>
        <w:tc>
          <w:tcPr>
            <w:tcW w:w="4026" w:type="dxa"/>
            <w:shd w:val="clear" w:color="auto" w:fill="auto"/>
            <w:vAlign w:val="center"/>
          </w:tcPr>
          <w:p>
            <w:pPr>
              <w:jc w:val="left"/>
              <w:rPr>
                <w:sz w:val="18"/>
                <w:szCs w:val="18"/>
                <w:highlight w:val="none"/>
              </w:rPr>
            </w:pPr>
            <w:r>
              <w:rPr>
                <w:rFonts w:hint="eastAsia" w:ascii="宋体" w:hAnsi="宋体"/>
                <w:color w:val="000000"/>
                <w:sz w:val="18"/>
                <w:szCs w:val="18"/>
                <w:highlight w:val="none"/>
              </w:rPr>
              <w:t xml:space="preserve">    机关事业单位职业年金缴费支出</w:t>
            </w:r>
          </w:p>
        </w:tc>
        <w:tc>
          <w:tcPr>
            <w:tcW w:w="1367" w:type="dxa"/>
            <w:shd w:val="clear" w:color="auto" w:fill="auto"/>
            <w:vAlign w:val="center"/>
          </w:tcPr>
          <w:p>
            <w:pPr>
              <w:jc w:val="right"/>
              <w:rPr>
                <w:sz w:val="18"/>
                <w:szCs w:val="18"/>
                <w:highlight w:val="none"/>
              </w:rPr>
            </w:pPr>
            <w:r>
              <w:rPr>
                <w:rFonts w:hint="eastAsia" w:ascii="宋体" w:hAnsi="宋体"/>
                <w:color w:val="000000"/>
                <w:sz w:val="18"/>
                <w:szCs w:val="18"/>
                <w:highlight w:val="none"/>
              </w:rPr>
              <w:t>10.00</w:t>
            </w:r>
          </w:p>
        </w:tc>
        <w:tc>
          <w:tcPr>
            <w:tcW w:w="1366" w:type="dxa"/>
            <w:gridSpan w:val="2"/>
            <w:shd w:val="clear" w:color="auto" w:fill="auto"/>
            <w:vAlign w:val="center"/>
          </w:tcPr>
          <w:p>
            <w:pPr>
              <w:jc w:val="right"/>
              <w:rPr>
                <w:sz w:val="18"/>
                <w:szCs w:val="18"/>
                <w:highlight w:val="none"/>
              </w:rPr>
            </w:pPr>
            <w:r>
              <w:rPr>
                <w:rFonts w:hint="eastAsia" w:ascii="宋体" w:hAnsi="宋体"/>
                <w:color w:val="000000"/>
                <w:sz w:val="18"/>
                <w:szCs w:val="18"/>
                <w:highlight w:val="none"/>
              </w:rPr>
              <w:t>10.00</w:t>
            </w:r>
          </w:p>
        </w:tc>
        <w:tc>
          <w:tcPr>
            <w:tcW w:w="1427"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highlight w:val="none"/>
              </w:rPr>
            </w:pPr>
            <w:r>
              <w:rPr>
                <w:rFonts w:hint="eastAsia" w:ascii="宋体" w:hAnsi="宋体"/>
                <w:b/>
                <w:color w:val="000000"/>
                <w:sz w:val="18"/>
                <w:szCs w:val="18"/>
                <w:highlight w:val="none"/>
              </w:rPr>
              <w:t>210</w:t>
            </w:r>
          </w:p>
        </w:tc>
        <w:tc>
          <w:tcPr>
            <w:tcW w:w="567" w:type="dxa"/>
            <w:shd w:val="clear" w:color="auto" w:fill="auto"/>
            <w:vAlign w:val="center"/>
          </w:tcPr>
          <w:p>
            <w:pPr>
              <w:jc w:val="center"/>
              <w:rPr>
                <w:b/>
                <w:sz w:val="18"/>
                <w:szCs w:val="18"/>
                <w:highlight w:val="none"/>
              </w:rPr>
            </w:pPr>
          </w:p>
        </w:tc>
        <w:tc>
          <w:tcPr>
            <w:tcW w:w="567" w:type="dxa"/>
            <w:shd w:val="clear" w:color="auto" w:fill="auto"/>
            <w:vAlign w:val="center"/>
          </w:tcPr>
          <w:p>
            <w:pPr>
              <w:jc w:val="center"/>
              <w:rPr>
                <w:b/>
                <w:sz w:val="18"/>
                <w:szCs w:val="18"/>
                <w:highlight w:val="none"/>
              </w:rPr>
            </w:pPr>
          </w:p>
        </w:tc>
        <w:tc>
          <w:tcPr>
            <w:tcW w:w="4026" w:type="dxa"/>
            <w:shd w:val="clear" w:color="auto" w:fill="auto"/>
            <w:vAlign w:val="center"/>
          </w:tcPr>
          <w:p>
            <w:pPr>
              <w:jc w:val="left"/>
              <w:rPr>
                <w:b/>
                <w:sz w:val="18"/>
                <w:szCs w:val="18"/>
                <w:highlight w:val="none"/>
              </w:rPr>
            </w:pPr>
            <w:r>
              <w:rPr>
                <w:rFonts w:hint="eastAsia" w:ascii="宋体" w:hAnsi="宋体"/>
                <w:b/>
                <w:color w:val="000000"/>
                <w:sz w:val="18"/>
                <w:szCs w:val="18"/>
                <w:highlight w:val="none"/>
              </w:rPr>
              <w:t>卫生健康支出</w:t>
            </w:r>
          </w:p>
        </w:tc>
        <w:tc>
          <w:tcPr>
            <w:tcW w:w="1367"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482.62</w:t>
            </w:r>
          </w:p>
        </w:tc>
        <w:tc>
          <w:tcPr>
            <w:tcW w:w="136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482.62</w:t>
            </w:r>
          </w:p>
        </w:tc>
        <w:tc>
          <w:tcPr>
            <w:tcW w:w="1427"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highlight w:val="none"/>
              </w:rPr>
            </w:pPr>
            <w:r>
              <w:rPr>
                <w:rFonts w:hint="eastAsia" w:ascii="宋体" w:hAnsi="宋体"/>
                <w:b/>
                <w:color w:val="000000"/>
                <w:sz w:val="18"/>
                <w:szCs w:val="18"/>
                <w:highlight w:val="none"/>
              </w:rPr>
              <w:t>210</w:t>
            </w:r>
          </w:p>
        </w:tc>
        <w:tc>
          <w:tcPr>
            <w:tcW w:w="567" w:type="dxa"/>
            <w:shd w:val="clear" w:color="auto" w:fill="auto"/>
            <w:vAlign w:val="center"/>
          </w:tcPr>
          <w:p>
            <w:pPr>
              <w:jc w:val="center"/>
              <w:rPr>
                <w:b/>
                <w:sz w:val="18"/>
                <w:szCs w:val="18"/>
                <w:highlight w:val="none"/>
              </w:rPr>
            </w:pPr>
            <w:r>
              <w:rPr>
                <w:rFonts w:hint="eastAsia" w:ascii="宋体" w:hAnsi="宋体"/>
                <w:b/>
                <w:color w:val="000000"/>
                <w:sz w:val="18"/>
                <w:szCs w:val="18"/>
                <w:highlight w:val="none"/>
              </w:rPr>
              <w:t>03</w:t>
            </w:r>
          </w:p>
        </w:tc>
        <w:tc>
          <w:tcPr>
            <w:tcW w:w="567" w:type="dxa"/>
            <w:shd w:val="clear" w:color="auto" w:fill="auto"/>
            <w:vAlign w:val="center"/>
          </w:tcPr>
          <w:p>
            <w:pPr>
              <w:jc w:val="center"/>
              <w:rPr>
                <w:b/>
                <w:sz w:val="18"/>
                <w:szCs w:val="18"/>
                <w:highlight w:val="none"/>
              </w:rPr>
            </w:pPr>
          </w:p>
        </w:tc>
        <w:tc>
          <w:tcPr>
            <w:tcW w:w="4026" w:type="dxa"/>
            <w:shd w:val="clear" w:color="auto" w:fill="auto"/>
            <w:vAlign w:val="center"/>
          </w:tcPr>
          <w:p>
            <w:pPr>
              <w:jc w:val="left"/>
              <w:rPr>
                <w:b/>
                <w:sz w:val="18"/>
                <w:szCs w:val="18"/>
                <w:highlight w:val="none"/>
              </w:rPr>
            </w:pPr>
            <w:r>
              <w:rPr>
                <w:rFonts w:hint="eastAsia" w:ascii="宋体" w:hAnsi="宋体"/>
                <w:b/>
                <w:color w:val="000000"/>
                <w:sz w:val="18"/>
                <w:szCs w:val="18"/>
                <w:highlight w:val="none"/>
              </w:rPr>
              <w:t xml:space="preserve">  基层医疗卫生机构</w:t>
            </w:r>
          </w:p>
        </w:tc>
        <w:tc>
          <w:tcPr>
            <w:tcW w:w="1367"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456.99</w:t>
            </w:r>
          </w:p>
        </w:tc>
        <w:tc>
          <w:tcPr>
            <w:tcW w:w="136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456.99</w:t>
            </w:r>
          </w:p>
        </w:tc>
        <w:tc>
          <w:tcPr>
            <w:tcW w:w="1427"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sz w:val="18"/>
                <w:szCs w:val="18"/>
                <w:highlight w:val="none"/>
              </w:rPr>
            </w:pPr>
            <w:r>
              <w:rPr>
                <w:rFonts w:hint="eastAsia" w:ascii="宋体" w:hAnsi="宋体"/>
                <w:color w:val="000000"/>
                <w:sz w:val="18"/>
                <w:szCs w:val="18"/>
                <w:highlight w:val="none"/>
              </w:rPr>
              <w:t>210</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03</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02</w:t>
            </w:r>
          </w:p>
        </w:tc>
        <w:tc>
          <w:tcPr>
            <w:tcW w:w="4026" w:type="dxa"/>
            <w:shd w:val="clear" w:color="auto" w:fill="auto"/>
            <w:vAlign w:val="center"/>
          </w:tcPr>
          <w:p>
            <w:pPr>
              <w:jc w:val="left"/>
              <w:rPr>
                <w:sz w:val="18"/>
                <w:szCs w:val="18"/>
                <w:highlight w:val="none"/>
              </w:rPr>
            </w:pPr>
            <w:r>
              <w:rPr>
                <w:rFonts w:hint="eastAsia" w:ascii="宋体" w:hAnsi="宋体"/>
                <w:color w:val="000000"/>
                <w:sz w:val="18"/>
                <w:szCs w:val="18"/>
                <w:highlight w:val="none"/>
              </w:rPr>
              <w:t xml:space="preserve">    乡镇卫生院</w:t>
            </w:r>
          </w:p>
        </w:tc>
        <w:tc>
          <w:tcPr>
            <w:tcW w:w="1367" w:type="dxa"/>
            <w:shd w:val="clear" w:color="auto" w:fill="auto"/>
            <w:vAlign w:val="center"/>
          </w:tcPr>
          <w:p>
            <w:pPr>
              <w:jc w:val="right"/>
              <w:rPr>
                <w:sz w:val="18"/>
                <w:szCs w:val="18"/>
                <w:highlight w:val="none"/>
              </w:rPr>
            </w:pPr>
            <w:r>
              <w:rPr>
                <w:rFonts w:hint="eastAsia" w:ascii="宋体" w:hAnsi="宋体"/>
                <w:color w:val="000000"/>
                <w:sz w:val="18"/>
                <w:szCs w:val="18"/>
                <w:highlight w:val="none"/>
              </w:rPr>
              <w:t>456.99</w:t>
            </w:r>
          </w:p>
        </w:tc>
        <w:tc>
          <w:tcPr>
            <w:tcW w:w="1366" w:type="dxa"/>
            <w:gridSpan w:val="2"/>
            <w:shd w:val="clear" w:color="auto" w:fill="auto"/>
            <w:vAlign w:val="center"/>
          </w:tcPr>
          <w:p>
            <w:pPr>
              <w:jc w:val="right"/>
              <w:rPr>
                <w:sz w:val="18"/>
                <w:szCs w:val="18"/>
                <w:highlight w:val="none"/>
              </w:rPr>
            </w:pPr>
            <w:r>
              <w:rPr>
                <w:rFonts w:hint="eastAsia" w:ascii="宋体" w:hAnsi="宋体"/>
                <w:color w:val="000000"/>
                <w:sz w:val="18"/>
                <w:szCs w:val="18"/>
                <w:highlight w:val="none"/>
              </w:rPr>
              <w:t>456.99</w:t>
            </w:r>
          </w:p>
        </w:tc>
        <w:tc>
          <w:tcPr>
            <w:tcW w:w="1427"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highlight w:val="none"/>
              </w:rPr>
            </w:pPr>
            <w:r>
              <w:rPr>
                <w:rFonts w:hint="eastAsia" w:ascii="宋体" w:hAnsi="宋体"/>
                <w:b/>
                <w:color w:val="000000"/>
                <w:sz w:val="18"/>
                <w:szCs w:val="18"/>
                <w:highlight w:val="none"/>
              </w:rPr>
              <w:t>210</w:t>
            </w:r>
          </w:p>
        </w:tc>
        <w:tc>
          <w:tcPr>
            <w:tcW w:w="567" w:type="dxa"/>
            <w:shd w:val="clear" w:color="auto" w:fill="auto"/>
            <w:vAlign w:val="center"/>
          </w:tcPr>
          <w:p>
            <w:pPr>
              <w:jc w:val="center"/>
              <w:rPr>
                <w:b/>
                <w:sz w:val="18"/>
                <w:szCs w:val="18"/>
                <w:highlight w:val="none"/>
              </w:rPr>
            </w:pPr>
            <w:r>
              <w:rPr>
                <w:rFonts w:hint="eastAsia" w:ascii="宋体" w:hAnsi="宋体"/>
                <w:b/>
                <w:color w:val="000000"/>
                <w:sz w:val="18"/>
                <w:szCs w:val="18"/>
                <w:highlight w:val="none"/>
              </w:rPr>
              <w:t>11</w:t>
            </w:r>
          </w:p>
        </w:tc>
        <w:tc>
          <w:tcPr>
            <w:tcW w:w="567" w:type="dxa"/>
            <w:shd w:val="clear" w:color="auto" w:fill="auto"/>
            <w:vAlign w:val="center"/>
          </w:tcPr>
          <w:p>
            <w:pPr>
              <w:jc w:val="center"/>
              <w:rPr>
                <w:b/>
                <w:sz w:val="18"/>
                <w:szCs w:val="18"/>
                <w:highlight w:val="none"/>
              </w:rPr>
            </w:pPr>
          </w:p>
        </w:tc>
        <w:tc>
          <w:tcPr>
            <w:tcW w:w="4026" w:type="dxa"/>
            <w:shd w:val="clear" w:color="auto" w:fill="auto"/>
            <w:vAlign w:val="center"/>
          </w:tcPr>
          <w:p>
            <w:pPr>
              <w:jc w:val="left"/>
              <w:rPr>
                <w:b/>
                <w:sz w:val="18"/>
                <w:szCs w:val="18"/>
                <w:highlight w:val="none"/>
              </w:rPr>
            </w:pPr>
            <w:r>
              <w:rPr>
                <w:rFonts w:hint="eastAsia" w:ascii="宋体" w:hAnsi="宋体"/>
                <w:b/>
                <w:color w:val="000000"/>
                <w:sz w:val="18"/>
                <w:szCs w:val="18"/>
                <w:highlight w:val="none"/>
              </w:rPr>
              <w:t xml:space="preserve">  行政事业单位医疗</w:t>
            </w:r>
          </w:p>
        </w:tc>
        <w:tc>
          <w:tcPr>
            <w:tcW w:w="1367"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25.64</w:t>
            </w:r>
          </w:p>
        </w:tc>
        <w:tc>
          <w:tcPr>
            <w:tcW w:w="136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25.64</w:t>
            </w:r>
          </w:p>
        </w:tc>
        <w:tc>
          <w:tcPr>
            <w:tcW w:w="1427"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sz w:val="18"/>
                <w:szCs w:val="18"/>
                <w:highlight w:val="none"/>
              </w:rPr>
            </w:pPr>
            <w:r>
              <w:rPr>
                <w:rFonts w:hint="eastAsia" w:ascii="宋体" w:hAnsi="宋体"/>
                <w:color w:val="000000"/>
                <w:sz w:val="18"/>
                <w:szCs w:val="18"/>
                <w:highlight w:val="none"/>
              </w:rPr>
              <w:t>210</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11</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02</w:t>
            </w:r>
          </w:p>
        </w:tc>
        <w:tc>
          <w:tcPr>
            <w:tcW w:w="4026" w:type="dxa"/>
            <w:shd w:val="clear" w:color="auto" w:fill="auto"/>
            <w:vAlign w:val="center"/>
          </w:tcPr>
          <w:p>
            <w:pPr>
              <w:jc w:val="left"/>
              <w:rPr>
                <w:sz w:val="18"/>
                <w:szCs w:val="18"/>
                <w:highlight w:val="none"/>
              </w:rPr>
            </w:pPr>
            <w:r>
              <w:rPr>
                <w:rFonts w:hint="eastAsia" w:ascii="宋体" w:hAnsi="宋体"/>
                <w:color w:val="000000"/>
                <w:sz w:val="18"/>
                <w:szCs w:val="18"/>
                <w:highlight w:val="none"/>
              </w:rPr>
              <w:t xml:space="preserve">    事业单位医疗</w:t>
            </w:r>
          </w:p>
        </w:tc>
        <w:tc>
          <w:tcPr>
            <w:tcW w:w="1367" w:type="dxa"/>
            <w:shd w:val="clear" w:color="auto" w:fill="auto"/>
            <w:vAlign w:val="center"/>
          </w:tcPr>
          <w:p>
            <w:pPr>
              <w:jc w:val="right"/>
              <w:rPr>
                <w:sz w:val="18"/>
                <w:szCs w:val="18"/>
                <w:highlight w:val="none"/>
              </w:rPr>
            </w:pPr>
            <w:r>
              <w:rPr>
                <w:rFonts w:hint="eastAsia" w:ascii="宋体" w:hAnsi="宋体"/>
                <w:color w:val="000000"/>
                <w:sz w:val="18"/>
                <w:szCs w:val="18"/>
                <w:highlight w:val="none"/>
              </w:rPr>
              <w:t>25.64</w:t>
            </w:r>
          </w:p>
        </w:tc>
        <w:tc>
          <w:tcPr>
            <w:tcW w:w="1366" w:type="dxa"/>
            <w:gridSpan w:val="2"/>
            <w:shd w:val="clear" w:color="auto" w:fill="auto"/>
            <w:vAlign w:val="center"/>
          </w:tcPr>
          <w:p>
            <w:pPr>
              <w:jc w:val="right"/>
              <w:rPr>
                <w:sz w:val="18"/>
                <w:szCs w:val="18"/>
                <w:highlight w:val="none"/>
              </w:rPr>
            </w:pPr>
            <w:r>
              <w:rPr>
                <w:rFonts w:hint="eastAsia" w:ascii="宋体" w:hAnsi="宋体"/>
                <w:color w:val="000000"/>
                <w:sz w:val="18"/>
                <w:szCs w:val="18"/>
                <w:highlight w:val="none"/>
              </w:rPr>
              <w:t>25.64</w:t>
            </w:r>
          </w:p>
        </w:tc>
        <w:tc>
          <w:tcPr>
            <w:tcW w:w="1427"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highlight w:val="none"/>
              </w:rPr>
            </w:pPr>
            <w:r>
              <w:rPr>
                <w:rFonts w:hint="eastAsia" w:ascii="宋体" w:hAnsi="宋体"/>
                <w:b/>
                <w:color w:val="000000"/>
                <w:sz w:val="18"/>
                <w:szCs w:val="18"/>
                <w:highlight w:val="none"/>
              </w:rPr>
              <w:t>221</w:t>
            </w:r>
          </w:p>
        </w:tc>
        <w:tc>
          <w:tcPr>
            <w:tcW w:w="567" w:type="dxa"/>
            <w:shd w:val="clear" w:color="auto" w:fill="auto"/>
            <w:vAlign w:val="center"/>
          </w:tcPr>
          <w:p>
            <w:pPr>
              <w:jc w:val="center"/>
              <w:rPr>
                <w:b/>
                <w:sz w:val="18"/>
                <w:szCs w:val="18"/>
                <w:highlight w:val="none"/>
              </w:rPr>
            </w:pPr>
          </w:p>
        </w:tc>
        <w:tc>
          <w:tcPr>
            <w:tcW w:w="567" w:type="dxa"/>
            <w:shd w:val="clear" w:color="auto" w:fill="auto"/>
            <w:vAlign w:val="center"/>
          </w:tcPr>
          <w:p>
            <w:pPr>
              <w:jc w:val="center"/>
              <w:rPr>
                <w:b/>
                <w:sz w:val="18"/>
                <w:szCs w:val="18"/>
                <w:highlight w:val="none"/>
              </w:rPr>
            </w:pPr>
          </w:p>
        </w:tc>
        <w:tc>
          <w:tcPr>
            <w:tcW w:w="4026" w:type="dxa"/>
            <w:shd w:val="clear" w:color="auto" w:fill="auto"/>
            <w:vAlign w:val="center"/>
          </w:tcPr>
          <w:p>
            <w:pPr>
              <w:jc w:val="left"/>
              <w:rPr>
                <w:b/>
                <w:sz w:val="18"/>
                <w:szCs w:val="18"/>
                <w:highlight w:val="none"/>
              </w:rPr>
            </w:pPr>
            <w:r>
              <w:rPr>
                <w:rFonts w:hint="eastAsia" w:ascii="宋体" w:hAnsi="宋体"/>
                <w:b/>
                <w:color w:val="000000"/>
                <w:sz w:val="18"/>
                <w:szCs w:val="18"/>
                <w:highlight w:val="none"/>
              </w:rPr>
              <w:t>住房保障支出</w:t>
            </w:r>
          </w:p>
        </w:tc>
        <w:tc>
          <w:tcPr>
            <w:tcW w:w="1367"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47.33</w:t>
            </w:r>
          </w:p>
        </w:tc>
        <w:tc>
          <w:tcPr>
            <w:tcW w:w="136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47.33</w:t>
            </w:r>
          </w:p>
        </w:tc>
        <w:tc>
          <w:tcPr>
            <w:tcW w:w="1427"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highlight w:val="none"/>
              </w:rPr>
            </w:pPr>
            <w:r>
              <w:rPr>
                <w:rFonts w:hint="eastAsia" w:ascii="宋体" w:hAnsi="宋体"/>
                <w:b/>
                <w:color w:val="000000"/>
                <w:sz w:val="18"/>
                <w:szCs w:val="18"/>
                <w:highlight w:val="none"/>
              </w:rPr>
              <w:t>221</w:t>
            </w:r>
          </w:p>
        </w:tc>
        <w:tc>
          <w:tcPr>
            <w:tcW w:w="567" w:type="dxa"/>
            <w:shd w:val="clear" w:color="auto" w:fill="auto"/>
            <w:vAlign w:val="center"/>
          </w:tcPr>
          <w:p>
            <w:pPr>
              <w:jc w:val="center"/>
              <w:rPr>
                <w:b/>
                <w:sz w:val="18"/>
                <w:szCs w:val="18"/>
                <w:highlight w:val="none"/>
              </w:rPr>
            </w:pPr>
            <w:r>
              <w:rPr>
                <w:rFonts w:hint="eastAsia" w:ascii="宋体" w:hAnsi="宋体"/>
                <w:b/>
                <w:color w:val="000000"/>
                <w:sz w:val="18"/>
                <w:szCs w:val="18"/>
                <w:highlight w:val="none"/>
              </w:rPr>
              <w:t>02</w:t>
            </w:r>
          </w:p>
        </w:tc>
        <w:tc>
          <w:tcPr>
            <w:tcW w:w="567" w:type="dxa"/>
            <w:shd w:val="clear" w:color="auto" w:fill="auto"/>
            <w:vAlign w:val="center"/>
          </w:tcPr>
          <w:p>
            <w:pPr>
              <w:jc w:val="center"/>
              <w:rPr>
                <w:b/>
                <w:sz w:val="18"/>
                <w:szCs w:val="18"/>
                <w:highlight w:val="none"/>
              </w:rPr>
            </w:pPr>
          </w:p>
        </w:tc>
        <w:tc>
          <w:tcPr>
            <w:tcW w:w="4026" w:type="dxa"/>
            <w:shd w:val="clear" w:color="auto" w:fill="auto"/>
            <w:vAlign w:val="center"/>
          </w:tcPr>
          <w:p>
            <w:pPr>
              <w:jc w:val="left"/>
              <w:rPr>
                <w:b/>
                <w:sz w:val="18"/>
                <w:szCs w:val="18"/>
                <w:highlight w:val="none"/>
              </w:rPr>
            </w:pPr>
            <w:r>
              <w:rPr>
                <w:rFonts w:hint="eastAsia" w:ascii="宋体" w:hAnsi="宋体"/>
                <w:b/>
                <w:color w:val="000000"/>
                <w:sz w:val="18"/>
                <w:szCs w:val="18"/>
                <w:highlight w:val="none"/>
              </w:rPr>
              <w:t xml:space="preserve">  住房改革支出</w:t>
            </w:r>
          </w:p>
        </w:tc>
        <w:tc>
          <w:tcPr>
            <w:tcW w:w="1367"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47.33</w:t>
            </w:r>
          </w:p>
        </w:tc>
        <w:tc>
          <w:tcPr>
            <w:tcW w:w="136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47.33</w:t>
            </w:r>
          </w:p>
        </w:tc>
        <w:tc>
          <w:tcPr>
            <w:tcW w:w="1427"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sz w:val="18"/>
                <w:szCs w:val="18"/>
                <w:highlight w:val="none"/>
              </w:rPr>
            </w:pPr>
            <w:r>
              <w:rPr>
                <w:rFonts w:hint="eastAsia" w:ascii="宋体" w:hAnsi="宋体"/>
                <w:color w:val="000000"/>
                <w:sz w:val="18"/>
                <w:szCs w:val="18"/>
                <w:highlight w:val="none"/>
              </w:rPr>
              <w:t>221</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02</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01</w:t>
            </w:r>
          </w:p>
        </w:tc>
        <w:tc>
          <w:tcPr>
            <w:tcW w:w="4026" w:type="dxa"/>
            <w:shd w:val="clear" w:color="auto" w:fill="auto"/>
            <w:vAlign w:val="center"/>
          </w:tcPr>
          <w:p>
            <w:pPr>
              <w:jc w:val="left"/>
              <w:rPr>
                <w:sz w:val="18"/>
                <w:szCs w:val="18"/>
                <w:highlight w:val="none"/>
              </w:rPr>
            </w:pPr>
            <w:r>
              <w:rPr>
                <w:rFonts w:hint="eastAsia" w:ascii="宋体" w:hAnsi="宋体"/>
                <w:color w:val="000000"/>
                <w:sz w:val="18"/>
                <w:szCs w:val="18"/>
                <w:highlight w:val="none"/>
              </w:rPr>
              <w:t xml:space="preserve">    住房公积金</w:t>
            </w:r>
          </w:p>
        </w:tc>
        <w:tc>
          <w:tcPr>
            <w:tcW w:w="1367" w:type="dxa"/>
            <w:shd w:val="clear" w:color="auto" w:fill="auto"/>
            <w:vAlign w:val="center"/>
          </w:tcPr>
          <w:p>
            <w:pPr>
              <w:jc w:val="right"/>
              <w:rPr>
                <w:sz w:val="18"/>
                <w:szCs w:val="18"/>
                <w:highlight w:val="none"/>
              </w:rPr>
            </w:pPr>
            <w:r>
              <w:rPr>
                <w:rFonts w:hint="eastAsia" w:ascii="宋体" w:hAnsi="宋体"/>
                <w:color w:val="000000"/>
                <w:sz w:val="18"/>
                <w:szCs w:val="18"/>
                <w:highlight w:val="none"/>
              </w:rPr>
              <w:t>47.33</w:t>
            </w:r>
          </w:p>
        </w:tc>
        <w:tc>
          <w:tcPr>
            <w:tcW w:w="1366" w:type="dxa"/>
            <w:gridSpan w:val="2"/>
            <w:shd w:val="clear" w:color="auto" w:fill="auto"/>
            <w:vAlign w:val="center"/>
          </w:tcPr>
          <w:p>
            <w:pPr>
              <w:jc w:val="right"/>
              <w:rPr>
                <w:sz w:val="18"/>
                <w:szCs w:val="18"/>
                <w:highlight w:val="none"/>
              </w:rPr>
            </w:pPr>
            <w:r>
              <w:rPr>
                <w:rFonts w:hint="eastAsia" w:ascii="宋体" w:hAnsi="宋体"/>
                <w:color w:val="000000"/>
                <w:sz w:val="18"/>
                <w:szCs w:val="18"/>
                <w:highlight w:val="none"/>
              </w:rPr>
              <w:t>47.33</w:t>
            </w:r>
          </w:p>
        </w:tc>
        <w:tc>
          <w:tcPr>
            <w:tcW w:w="1427" w:type="dxa"/>
            <w:shd w:val="clear" w:color="auto" w:fill="auto"/>
            <w:vAlign w:val="center"/>
          </w:tcPr>
          <w:p>
            <w:pPr>
              <w:jc w:val="right"/>
              <w:rPr>
                <w:sz w:val="18"/>
                <w:szCs w:val="18"/>
                <w:highlight w:val="none"/>
              </w:rPr>
            </w:pPr>
          </w:p>
        </w:tc>
      </w:tr>
    </w:tbl>
    <w:p>
      <w:pPr>
        <w:widowControl/>
        <w:jc w:val="left"/>
        <w:rPr>
          <w:rFonts w:hint="default" w:ascii="仿宋" w:eastAsia="仿宋"/>
          <w:b/>
          <w:color w:val="000000"/>
          <w:szCs w:val="21"/>
          <w:highlight w:val="none"/>
        </w:rPr>
        <w:sectPr>
          <w:pgSz w:w="11906" w:h="16838"/>
          <w:pgMar w:top="1134" w:right="1134" w:bottom="1134" w:left="1134" w:header="851" w:footer="992" w:gutter="0"/>
          <w:cols w:space="425" w:num="1"/>
          <w:docGrid w:type="lines" w:linePitch="312" w:charSpace="0"/>
        </w:sectPr>
      </w:pPr>
    </w:p>
    <w:p>
      <w:pPr>
        <w:rPr>
          <w:highlight w:val="none"/>
        </w:rPr>
      </w:pPr>
      <w:r>
        <w:rPr>
          <w:rFonts w:hint="eastAsia" w:ascii="宋体" w:hAnsi="宋体"/>
          <w:color w:val="000000"/>
          <w:sz w:val="18"/>
          <w:szCs w:val="18"/>
          <w:highlight w:val="none"/>
        </w:rPr>
        <w:t>表6</w:t>
      </w:r>
    </w:p>
    <w:p>
      <w:pPr>
        <w:jc w:val="center"/>
        <w:rPr>
          <w:rFonts w:hint="default" w:ascii="仿宋" w:hAnsi="宋体" w:eastAsia="仿宋"/>
          <w:b/>
          <w:color w:val="000000"/>
          <w:sz w:val="28"/>
          <w:szCs w:val="28"/>
          <w:highlight w:val="none"/>
        </w:rPr>
      </w:pPr>
      <w:r>
        <w:rPr>
          <w:rFonts w:hint="eastAsia" w:ascii="仿宋" w:hAnsi="宋体" w:eastAsia="仿宋"/>
          <w:b/>
          <w:color w:val="000000"/>
          <w:sz w:val="28"/>
          <w:szCs w:val="28"/>
          <w:highlight w:val="none"/>
        </w:rPr>
        <w:t>一般公共预算基本支出情况表</w:t>
      </w:r>
    </w:p>
    <w:tbl>
      <w:tblPr>
        <w:tblStyle w:val="7"/>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534"/>
        <w:gridCol w:w="567"/>
        <w:gridCol w:w="4593"/>
        <w:gridCol w:w="1367"/>
        <w:gridCol w:w="1085"/>
        <w:gridCol w:w="281"/>
        <w:gridCol w:w="1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2" w:hRule="atLeast"/>
          <w:tblHeader/>
        </w:trPr>
        <w:tc>
          <w:tcPr>
            <w:tcW w:w="8146" w:type="dxa"/>
            <w:gridSpan w:val="5"/>
            <w:tcBorders>
              <w:top w:val="nil"/>
              <w:left w:val="nil"/>
              <w:right w:val="nil"/>
            </w:tcBorders>
            <w:shd w:val="clear" w:color="auto" w:fill="auto"/>
            <w:vAlign w:val="center"/>
          </w:tcPr>
          <w:p>
            <w:pPr>
              <w:jc w:val="left"/>
              <w:rPr>
                <w:sz w:val="18"/>
                <w:szCs w:val="18"/>
                <w:highlight w:val="none"/>
              </w:rPr>
            </w:pPr>
            <w:r>
              <w:rPr>
                <w:rFonts w:hint="eastAsia"/>
                <w:color w:val="000000"/>
                <w:sz w:val="18"/>
                <w:szCs w:val="18"/>
                <w:highlight w:val="none"/>
              </w:rPr>
              <w:t>编制部门：皮山县木奎拉乡卫生院</w:t>
            </w:r>
          </w:p>
        </w:tc>
        <w:tc>
          <w:tcPr>
            <w:tcW w:w="1708" w:type="dxa"/>
            <w:gridSpan w:val="2"/>
            <w:tcBorders>
              <w:top w:val="nil"/>
              <w:left w:val="nil"/>
              <w:right w:val="nil"/>
            </w:tcBorders>
            <w:shd w:val="clear" w:color="auto" w:fill="auto"/>
            <w:vAlign w:val="center"/>
          </w:tcPr>
          <w:p>
            <w:pPr>
              <w:jc w:val="right"/>
              <w:rPr>
                <w:sz w:val="18"/>
                <w:szCs w:val="18"/>
                <w:highlight w:val="none"/>
              </w:rPr>
            </w:pPr>
            <w:r>
              <w:rPr>
                <w:rFonts w:hint="eastAsia"/>
                <w:color w:val="000000"/>
                <w:sz w:val="18"/>
                <w:szCs w:val="18"/>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2" w:hRule="atLeast"/>
          <w:tblHeader/>
        </w:trPr>
        <w:tc>
          <w:tcPr>
            <w:tcW w:w="5694" w:type="dxa"/>
            <w:gridSpan w:val="3"/>
            <w:shd w:val="clear" w:color="auto" w:fill="auto"/>
            <w:vAlign w:val="center"/>
          </w:tcPr>
          <w:p>
            <w:pPr>
              <w:jc w:val="center"/>
              <w:rPr>
                <w:sz w:val="18"/>
                <w:szCs w:val="18"/>
                <w:highlight w:val="none"/>
              </w:rPr>
            </w:pPr>
            <w:r>
              <w:rPr>
                <w:rFonts w:hint="eastAsia"/>
                <w:sz w:val="18"/>
                <w:szCs w:val="18"/>
                <w:highlight w:val="none"/>
              </w:rPr>
              <w:t>科目</w:t>
            </w:r>
          </w:p>
        </w:tc>
        <w:tc>
          <w:tcPr>
            <w:tcW w:w="4160" w:type="dxa"/>
            <w:gridSpan w:val="4"/>
            <w:shd w:val="clear" w:color="auto" w:fill="auto"/>
            <w:vAlign w:val="center"/>
          </w:tcPr>
          <w:p>
            <w:pPr>
              <w:jc w:val="center"/>
              <w:rPr>
                <w:sz w:val="18"/>
                <w:szCs w:val="18"/>
                <w:highlight w:val="none"/>
              </w:rPr>
            </w:pPr>
            <w:r>
              <w:rPr>
                <w:rFonts w:hint="eastAsia"/>
                <w:sz w:val="18"/>
                <w:szCs w:val="18"/>
                <w:highlight w:val="none"/>
              </w:rPr>
              <w:t>一般公共预算基本支出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4" w:hRule="atLeast"/>
          <w:tblHeader/>
        </w:trPr>
        <w:tc>
          <w:tcPr>
            <w:tcW w:w="1101" w:type="dxa"/>
            <w:gridSpan w:val="2"/>
            <w:shd w:val="clear" w:color="auto" w:fill="auto"/>
            <w:vAlign w:val="center"/>
          </w:tcPr>
          <w:p>
            <w:pPr>
              <w:jc w:val="center"/>
              <w:rPr>
                <w:sz w:val="18"/>
                <w:szCs w:val="18"/>
                <w:highlight w:val="none"/>
              </w:rPr>
            </w:pPr>
            <w:r>
              <w:rPr>
                <w:rFonts w:hint="eastAsia"/>
                <w:sz w:val="18"/>
                <w:szCs w:val="18"/>
                <w:highlight w:val="none"/>
              </w:rPr>
              <w:t>经济分类科目编码</w:t>
            </w:r>
          </w:p>
        </w:tc>
        <w:tc>
          <w:tcPr>
            <w:tcW w:w="4593" w:type="dxa"/>
            <w:vMerge w:val="restart"/>
            <w:shd w:val="clear" w:color="auto" w:fill="auto"/>
            <w:vAlign w:val="center"/>
          </w:tcPr>
          <w:p>
            <w:pPr>
              <w:jc w:val="center"/>
              <w:rPr>
                <w:sz w:val="18"/>
                <w:szCs w:val="18"/>
                <w:highlight w:val="none"/>
              </w:rPr>
            </w:pPr>
            <w:r>
              <w:rPr>
                <w:rFonts w:hint="eastAsia"/>
                <w:sz w:val="18"/>
                <w:szCs w:val="18"/>
                <w:highlight w:val="none"/>
              </w:rPr>
              <w:t>经济分类科目名称</w:t>
            </w:r>
          </w:p>
        </w:tc>
        <w:tc>
          <w:tcPr>
            <w:tcW w:w="1367" w:type="dxa"/>
            <w:vMerge w:val="restart"/>
            <w:shd w:val="clear" w:color="auto" w:fill="auto"/>
            <w:vAlign w:val="center"/>
          </w:tcPr>
          <w:p>
            <w:pPr>
              <w:jc w:val="center"/>
              <w:rPr>
                <w:sz w:val="18"/>
                <w:szCs w:val="18"/>
                <w:highlight w:val="none"/>
              </w:rPr>
            </w:pPr>
            <w:r>
              <w:rPr>
                <w:rFonts w:hint="eastAsia"/>
                <w:sz w:val="18"/>
                <w:szCs w:val="18"/>
                <w:highlight w:val="none"/>
              </w:rPr>
              <w:t>合计</w:t>
            </w:r>
          </w:p>
        </w:tc>
        <w:tc>
          <w:tcPr>
            <w:tcW w:w="1366" w:type="dxa"/>
            <w:gridSpan w:val="2"/>
            <w:vMerge w:val="restart"/>
            <w:shd w:val="clear" w:color="auto" w:fill="auto"/>
            <w:vAlign w:val="center"/>
          </w:tcPr>
          <w:p>
            <w:pPr>
              <w:jc w:val="center"/>
              <w:rPr>
                <w:sz w:val="18"/>
                <w:szCs w:val="18"/>
                <w:highlight w:val="none"/>
              </w:rPr>
            </w:pPr>
            <w:r>
              <w:rPr>
                <w:rFonts w:hint="eastAsia"/>
                <w:sz w:val="18"/>
                <w:szCs w:val="18"/>
                <w:highlight w:val="none"/>
              </w:rPr>
              <w:t>人员经费</w:t>
            </w:r>
          </w:p>
        </w:tc>
        <w:tc>
          <w:tcPr>
            <w:tcW w:w="1427" w:type="dxa"/>
            <w:vMerge w:val="restart"/>
            <w:shd w:val="clear" w:color="auto" w:fill="auto"/>
            <w:vAlign w:val="center"/>
          </w:tcPr>
          <w:p>
            <w:pPr>
              <w:jc w:val="center"/>
              <w:rPr>
                <w:sz w:val="18"/>
                <w:szCs w:val="18"/>
                <w:highlight w:val="none"/>
              </w:rPr>
            </w:pPr>
            <w:r>
              <w:rPr>
                <w:rFonts w:hint="eastAsia"/>
                <w:sz w:val="18"/>
                <w:szCs w:val="18"/>
                <w:highlight w:val="none"/>
              </w:rPr>
              <w:t>公用经费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00" w:hRule="atLeast"/>
          <w:tblHeader/>
        </w:trPr>
        <w:tc>
          <w:tcPr>
            <w:tcW w:w="534" w:type="dxa"/>
            <w:shd w:val="clear" w:color="auto" w:fill="auto"/>
            <w:vAlign w:val="center"/>
          </w:tcPr>
          <w:p>
            <w:pPr>
              <w:jc w:val="center"/>
              <w:rPr>
                <w:sz w:val="18"/>
                <w:szCs w:val="18"/>
                <w:highlight w:val="none"/>
              </w:rPr>
            </w:pPr>
            <w:r>
              <w:rPr>
                <w:rFonts w:hint="eastAsia"/>
                <w:sz w:val="18"/>
                <w:szCs w:val="18"/>
                <w:highlight w:val="none"/>
              </w:rPr>
              <w:t>类</w:t>
            </w:r>
          </w:p>
        </w:tc>
        <w:tc>
          <w:tcPr>
            <w:tcW w:w="567" w:type="dxa"/>
            <w:shd w:val="clear" w:color="auto" w:fill="auto"/>
            <w:vAlign w:val="center"/>
          </w:tcPr>
          <w:p>
            <w:pPr>
              <w:jc w:val="center"/>
              <w:rPr>
                <w:sz w:val="18"/>
                <w:szCs w:val="18"/>
                <w:highlight w:val="none"/>
              </w:rPr>
            </w:pPr>
            <w:r>
              <w:rPr>
                <w:rFonts w:hint="eastAsia"/>
                <w:sz w:val="18"/>
                <w:szCs w:val="18"/>
                <w:highlight w:val="none"/>
              </w:rPr>
              <w:t>款</w:t>
            </w:r>
          </w:p>
        </w:tc>
        <w:tc>
          <w:tcPr>
            <w:tcW w:w="4593" w:type="dxa"/>
            <w:vMerge w:val="continue"/>
            <w:shd w:val="clear" w:color="auto" w:fill="auto"/>
            <w:vAlign w:val="center"/>
          </w:tcPr>
          <w:p>
            <w:pPr>
              <w:jc w:val="center"/>
              <w:rPr>
                <w:sz w:val="18"/>
                <w:szCs w:val="18"/>
                <w:highlight w:val="none"/>
              </w:rPr>
            </w:pPr>
          </w:p>
        </w:tc>
        <w:tc>
          <w:tcPr>
            <w:tcW w:w="1367" w:type="dxa"/>
            <w:vMerge w:val="continue"/>
            <w:shd w:val="clear" w:color="auto" w:fill="auto"/>
            <w:vAlign w:val="center"/>
          </w:tcPr>
          <w:p>
            <w:pPr>
              <w:jc w:val="center"/>
              <w:rPr>
                <w:sz w:val="18"/>
                <w:szCs w:val="18"/>
                <w:highlight w:val="none"/>
              </w:rPr>
            </w:pPr>
          </w:p>
        </w:tc>
        <w:tc>
          <w:tcPr>
            <w:tcW w:w="1366" w:type="dxa"/>
            <w:gridSpan w:val="2"/>
            <w:vMerge w:val="continue"/>
            <w:shd w:val="clear" w:color="auto" w:fill="auto"/>
            <w:vAlign w:val="center"/>
          </w:tcPr>
          <w:p>
            <w:pPr>
              <w:jc w:val="center"/>
              <w:rPr>
                <w:sz w:val="18"/>
                <w:szCs w:val="18"/>
                <w:highlight w:val="none"/>
              </w:rPr>
            </w:pPr>
          </w:p>
        </w:tc>
        <w:tc>
          <w:tcPr>
            <w:tcW w:w="1427" w:type="dxa"/>
            <w:vMerge w:val="continue"/>
            <w:shd w:val="clear" w:color="auto" w:fill="auto"/>
            <w:vAlign w:val="center"/>
          </w:tcPr>
          <w:p>
            <w:pPr>
              <w:jc w:val="center"/>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58" w:hRule="atLeast"/>
          <w:tblHeader/>
        </w:trPr>
        <w:tc>
          <w:tcPr>
            <w:tcW w:w="534"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567"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4593"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1367" w:type="dxa"/>
            <w:shd w:val="clear" w:color="auto" w:fill="auto"/>
            <w:vAlign w:val="center"/>
          </w:tcPr>
          <w:p>
            <w:pPr>
              <w:jc w:val="center"/>
              <w:rPr>
                <w:sz w:val="18"/>
                <w:szCs w:val="18"/>
                <w:highlight w:val="none"/>
              </w:rPr>
            </w:pPr>
            <w:r>
              <w:rPr>
                <w:rFonts w:hint="eastAsia"/>
                <w:sz w:val="18"/>
                <w:szCs w:val="18"/>
                <w:highlight w:val="none"/>
              </w:rPr>
              <w:t>1</w:t>
            </w:r>
          </w:p>
        </w:tc>
        <w:tc>
          <w:tcPr>
            <w:tcW w:w="1366" w:type="dxa"/>
            <w:gridSpan w:val="2"/>
            <w:shd w:val="clear" w:color="auto" w:fill="auto"/>
            <w:vAlign w:val="center"/>
          </w:tcPr>
          <w:p>
            <w:pPr>
              <w:jc w:val="center"/>
              <w:rPr>
                <w:sz w:val="18"/>
                <w:szCs w:val="18"/>
                <w:highlight w:val="none"/>
              </w:rPr>
            </w:pPr>
            <w:r>
              <w:rPr>
                <w:rFonts w:hint="eastAsia"/>
                <w:sz w:val="18"/>
                <w:szCs w:val="18"/>
                <w:highlight w:val="none"/>
              </w:rPr>
              <w:t>2</w:t>
            </w:r>
          </w:p>
        </w:tc>
        <w:tc>
          <w:tcPr>
            <w:tcW w:w="1427" w:type="dxa"/>
            <w:shd w:val="clear" w:color="auto" w:fill="auto"/>
            <w:vAlign w:val="center"/>
          </w:tcPr>
          <w:p>
            <w:pPr>
              <w:jc w:val="center"/>
              <w:rPr>
                <w:sz w:val="18"/>
                <w:szCs w:val="18"/>
                <w:highlight w:val="none"/>
              </w:rPr>
            </w:pPr>
            <w:r>
              <w:rPr>
                <w:rFonts w:hint="eastAsia"/>
                <w:sz w:val="18"/>
                <w:szCs w:val="18"/>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b/>
                <w:sz w:val="18"/>
                <w:szCs w:val="18"/>
                <w:highlight w:val="none"/>
              </w:rPr>
            </w:pPr>
          </w:p>
        </w:tc>
        <w:tc>
          <w:tcPr>
            <w:tcW w:w="567" w:type="dxa"/>
            <w:shd w:val="clear" w:color="auto" w:fill="auto"/>
            <w:vAlign w:val="center"/>
          </w:tcPr>
          <w:p>
            <w:pPr>
              <w:jc w:val="center"/>
              <w:rPr>
                <w:rFonts w:hint="default" w:ascii="宋体" w:hAnsi="宋体"/>
                <w:b/>
                <w:sz w:val="18"/>
                <w:szCs w:val="18"/>
                <w:highlight w:val="none"/>
              </w:rPr>
            </w:pPr>
          </w:p>
        </w:tc>
        <w:tc>
          <w:tcPr>
            <w:tcW w:w="4593" w:type="dxa"/>
            <w:shd w:val="clear" w:color="auto" w:fill="auto"/>
            <w:vAlign w:val="center"/>
          </w:tcPr>
          <w:p>
            <w:pPr>
              <w:jc w:val="center"/>
              <w:rPr>
                <w:rFonts w:hint="default" w:ascii="宋体" w:hAnsi="宋体"/>
                <w:b/>
                <w:sz w:val="18"/>
                <w:szCs w:val="18"/>
                <w:highlight w:val="none"/>
              </w:rPr>
            </w:pPr>
            <w:r>
              <w:rPr>
                <w:rFonts w:hint="default" w:ascii="宋体" w:hAnsi="宋体"/>
                <w:b/>
                <w:sz w:val="18"/>
                <w:szCs w:val="18"/>
                <w:highlight w:val="none"/>
              </w:rPr>
              <w:t>总计</w:t>
            </w:r>
          </w:p>
        </w:tc>
        <w:tc>
          <w:tcPr>
            <w:tcW w:w="1367" w:type="dxa"/>
            <w:shd w:val="clear" w:color="auto" w:fill="auto"/>
            <w:vAlign w:val="center"/>
          </w:tcPr>
          <w:p>
            <w:pPr>
              <w:jc w:val="right"/>
              <w:rPr>
                <w:rFonts w:hint="default" w:ascii="宋体" w:hAnsi="宋体"/>
                <w:b/>
                <w:sz w:val="18"/>
                <w:szCs w:val="18"/>
                <w:highlight w:val="none"/>
              </w:rPr>
            </w:pPr>
            <w:r>
              <w:rPr>
                <w:rFonts w:hint="default" w:ascii="宋体" w:hAnsi="宋体"/>
                <w:b/>
                <w:sz w:val="18"/>
                <w:szCs w:val="18"/>
                <w:highlight w:val="none"/>
              </w:rPr>
              <w:t>607.40</w:t>
            </w:r>
          </w:p>
        </w:tc>
        <w:tc>
          <w:tcPr>
            <w:tcW w:w="1366" w:type="dxa"/>
            <w:gridSpan w:val="2"/>
            <w:shd w:val="clear" w:color="auto" w:fill="auto"/>
            <w:vAlign w:val="center"/>
          </w:tcPr>
          <w:p>
            <w:pPr>
              <w:jc w:val="right"/>
              <w:rPr>
                <w:rFonts w:hint="default" w:ascii="宋体" w:hAnsi="宋体"/>
                <w:b/>
                <w:sz w:val="18"/>
                <w:szCs w:val="18"/>
                <w:highlight w:val="none"/>
              </w:rPr>
            </w:pPr>
            <w:r>
              <w:rPr>
                <w:rFonts w:hint="default" w:ascii="宋体" w:hAnsi="宋体"/>
                <w:b/>
                <w:sz w:val="18"/>
                <w:szCs w:val="18"/>
                <w:highlight w:val="none"/>
              </w:rPr>
              <w:t>607.40</w:t>
            </w:r>
          </w:p>
        </w:tc>
        <w:tc>
          <w:tcPr>
            <w:tcW w:w="1427" w:type="dxa"/>
            <w:shd w:val="clear" w:color="auto" w:fill="auto"/>
            <w:vAlign w:val="center"/>
          </w:tcPr>
          <w:p>
            <w:pPr>
              <w:jc w:val="right"/>
              <w:rPr>
                <w:rFonts w:hint="default" w:ascii="宋体" w:hAnsi="宋体"/>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b/>
                <w:sz w:val="18"/>
                <w:szCs w:val="18"/>
                <w:highlight w:val="none"/>
              </w:rPr>
            </w:pPr>
            <w:r>
              <w:rPr>
                <w:rFonts w:hint="default" w:ascii="宋体" w:hAnsi="宋体"/>
                <w:b/>
                <w:sz w:val="18"/>
                <w:szCs w:val="18"/>
                <w:highlight w:val="none"/>
              </w:rPr>
              <w:t>301</w:t>
            </w:r>
          </w:p>
        </w:tc>
        <w:tc>
          <w:tcPr>
            <w:tcW w:w="567" w:type="dxa"/>
            <w:shd w:val="clear" w:color="auto" w:fill="auto"/>
            <w:vAlign w:val="center"/>
          </w:tcPr>
          <w:p>
            <w:pPr>
              <w:jc w:val="center"/>
              <w:rPr>
                <w:rFonts w:hint="default" w:ascii="宋体" w:hAnsi="宋体"/>
                <w:b/>
                <w:sz w:val="18"/>
                <w:szCs w:val="18"/>
                <w:highlight w:val="none"/>
              </w:rPr>
            </w:pPr>
          </w:p>
        </w:tc>
        <w:tc>
          <w:tcPr>
            <w:tcW w:w="4593" w:type="dxa"/>
            <w:shd w:val="clear" w:color="auto" w:fill="auto"/>
            <w:vAlign w:val="center"/>
          </w:tcPr>
          <w:p>
            <w:pPr>
              <w:jc w:val="left"/>
              <w:rPr>
                <w:rFonts w:hint="default" w:ascii="宋体" w:hAnsi="宋体"/>
                <w:b/>
                <w:sz w:val="18"/>
                <w:szCs w:val="18"/>
                <w:highlight w:val="none"/>
              </w:rPr>
            </w:pPr>
            <w:r>
              <w:rPr>
                <w:rFonts w:hint="default" w:ascii="宋体" w:hAnsi="宋体"/>
                <w:b/>
                <w:sz w:val="18"/>
                <w:szCs w:val="18"/>
                <w:highlight w:val="none"/>
              </w:rPr>
              <w:t>工资福利支出</w:t>
            </w:r>
          </w:p>
        </w:tc>
        <w:tc>
          <w:tcPr>
            <w:tcW w:w="1367" w:type="dxa"/>
            <w:shd w:val="clear" w:color="auto" w:fill="auto"/>
            <w:vAlign w:val="center"/>
          </w:tcPr>
          <w:p>
            <w:pPr>
              <w:jc w:val="right"/>
              <w:rPr>
                <w:rFonts w:hint="default" w:ascii="宋体" w:hAnsi="宋体"/>
                <w:b/>
                <w:sz w:val="18"/>
                <w:szCs w:val="18"/>
                <w:highlight w:val="none"/>
              </w:rPr>
            </w:pPr>
            <w:r>
              <w:rPr>
                <w:rFonts w:hint="default" w:ascii="宋体" w:hAnsi="宋体"/>
                <w:b/>
                <w:sz w:val="18"/>
                <w:szCs w:val="18"/>
                <w:highlight w:val="none"/>
              </w:rPr>
              <w:t>601.90</w:t>
            </w:r>
          </w:p>
        </w:tc>
        <w:tc>
          <w:tcPr>
            <w:tcW w:w="1366" w:type="dxa"/>
            <w:gridSpan w:val="2"/>
            <w:shd w:val="clear" w:color="auto" w:fill="auto"/>
            <w:vAlign w:val="center"/>
          </w:tcPr>
          <w:p>
            <w:pPr>
              <w:jc w:val="right"/>
              <w:rPr>
                <w:rFonts w:hint="default" w:ascii="宋体" w:hAnsi="宋体"/>
                <w:b/>
                <w:sz w:val="18"/>
                <w:szCs w:val="18"/>
                <w:highlight w:val="none"/>
              </w:rPr>
            </w:pPr>
            <w:r>
              <w:rPr>
                <w:rFonts w:hint="default" w:ascii="宋体" w:hAnsi="宋体"/>
                <w:b/>
                <w:sz w:val="18"/>
                <w:szCs w:val="18"/>
                <w:highlight w:val="none"/>
              </w:rPr>
              <w:t>601.90</w:t>
            </w:r>
          </w:p>
        </w:tc>
        <w:tc>
          <w:tcPr>
            <w:tcW w:w="1427" w:type="dxa"/>
            <w:shd w:val="clear" w:color="auto" w:fill="auto"/>
            <w:vAlign w:val="center"/>
          </w:tcPr>
          <w:p>
            <w:pPr>
              <w:jc w:val="right"/>
              <w:rPr>
                <w:rFonts w:hint="default" w:ascii="宋体" w:hAnsi="宋体"/>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301</w:t>
            </w:r>
          </w:p>
        </w:tc>
        <w:tc>
          <w:tcPr>
            <w:tcW w:w="567"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01</w:t>
            </w:r>
          </w:p>
        </w:tc>
        <w:tc>
          <w:tcPr>
            <w:tcW w:w="4593" w:type="dxa"/>
            <w:shd w:val="clear" w:color="auto" w:fill="auto"/>
            <w:vAlign w:val="center"/>
          </w:tcPr>
          <w:p>
            <w:pPr>
              <w:jc w:val="left"/>
              <w:rPr>
                <w:rFonts w:hint="default" w:ascii="宋体" w:hAnsi="宋体"/>
                <w:sz w:val="18"/>
                <w:szCs w:val="18"/>
                <w:highlight w:val="none"/>
              </w:rPr>
            </w:pPr>
            <w:r>
              <w:rPr>
                <w:rFonts w:hint="default" w:ascii="宋体" w:hAnsi="宋体"/>
                <w:sz w:val="18"/>
                <w:szCs w:val="18"/>
                <w:highlight w:val="none"/>
              </w:rPr>
              <w:t xml:space="preserve">  基本工资</w:t>
            </w:r>
          </w:p>
        </w:tc>
        <w:tc>
          <w:tcPr>
            <w:tcW w:w="1367" w:type="dxa"/>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119.71</w:t>
            </w:r>
          </w:p>
        </w:tc>
        <w:tc>
          <w:tcPr>
            <w:tcW w:w="1366" w:type="dxa"/>
            <w:gridSpan w:val="2"/>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119.71</w:t>
            </w:r>
          </w:p>
        </w:tc>
        <w:tc>
          <w:tcPr>
            <w:tcW w:w="1427" w:type="dxa"/>
            <w:shd w:val="clear" w:color="auto" w:fill="auto"/>
            <w:vAlign w:val="center"/>
          </w:tcPr>
          <w:p>
            <w:pPr>
              <w:jc w:val="right"/>
              <w:rPr>
                <w:rFonts w:hint="default" w:ascii="宋体" w:hAnsi="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301</w:t>
            </w:r>
          </w:p>
        </w:tc>
        <w:tc>
          <w:tcPr>
            <w:tcW w:w="567"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02</w:t>
            </w:r>
          </w:p>
        </w:tc>
        <w:tc>
          <w:tcPr>
            <w:tcW w:w="4593" w:type="dxa"/>
            <w:shd w:val="clear" w:color="auto" w:fill="auto"/>
            <w:vAlign w:val="center"/>
          </w:tcPr>
          <w:p>
            <w:pPr>
              <w:jc w:val="left"/>
              <w:rPr>
                <w:rFonts w:hint="default" w:ascii="宋体" w:hAnsi="宋体"/>
                <w:sz w:val="18"/>
                <w:szCs w:val="18"/>
                <w:highlight w:val="none"/>
              </w:rPr>
            </w:pPr>
            <w:r>
              <w:rPr>
                <w:rFonts w:hint="default" w:ascii="宋体" w:hAnsi="宋体"/>
                <w:sz w:val="18"/>
                <w:szCs w:val="18"/>
                <w:highlight w:val="none"/>
              </w:rPr>
              <w:t xml:space="preserve">  津贴补贴</w:t>
            </w:r>
          </w:p>
        </w:tc>
        <w:tc>
          <w:tcPr>
            <w:tcW w:w="1367" w:type="dxa"/>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150.54</w:t>
            </w:r>
          </w:p>
        </w:tc>
        <w:tc>
          <w:tcPr>
            <w:tcW w:w="1366" w:type="dxa"/>
            <w:gridSpan w:val="2"/>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150.54</w:t>
            </w:r>
          </w:p>
        </w:tc>
        <w:tc>
          <w:tcPr>
            <w:tcW w:w="1427" w:type="dxa"/>
            <w:shd w:val="clear" w:color="auto" w:fill="auto"/>
            <w:vAlign w:val="center"/>
          </w:tcPr>
          <w:p>
            <w:pPr>
              <w:jc w:val="right"/>
              <w:rPr>
                <w:rFonts w:hint="default" w:ascii="宋体" w:hAnsi="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301</w:t>
            </w:r>
          </w:p>
        </w:tc>
        <w:tc>
          <w:tcPr>
            <w:tcW w:w="567"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03</w:t>
            </w:r>
          </w:p>
        </w:tc>
        <w:tc>
          <w:tcPr>
            <w:tcW w:w="4593" w:type="dxa"/>
            <w:shd w:val="clear" w:color="auto" w:fill="auto"/>
            <w:vAlign w:val="center"/>
          </w:tcPr>
          <w:p>
            <w:pPr>
              <w:jc w:val="left"/>
              <w:rPr>
                <w:rFonts w:hint="default" w:ascii="宋体" w:hAnsi="宋体"/>
                <w:sz w:val="18"/>
                <w:szCs w:val="18"/>
                <w:highlight w:val="none"/>
              </w:rPr>
            </w:pPr>
            <w:r>
              <w:rPr>
                <w:rFonts w:hint="default" w:ascii="宋体" w:hAnsi="宋体"/>
                <w:sz w:val="18"/>
                <w:szCs w:val="18"/>
                <w:highlight w:val="none"/>
              </w:rPr>
              <w:t xml:space="preserve">  奖金</w:t>
            </w:r>
          </w:p>
        </w:tc>
        <w:tc>
          <w:tcPr>
            <w:tcW w:w="1367" w:type="dxa"/>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91.56</w:t>
            </w:r>
          </w:p>
        </w:tc>
        <w:tc>
          <w:tcPr>
            <w:tcW w:w="1366" w:type="dxa"/>
            <w:gridSpan w:val="2"/>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91.56</w:t>
            </w:r>
          </w:p>
        </w:tc>
        <w:tc>
          <w:tcPr>
            <w:tcW w:w="1427" w:type="dxa"/>
            <w:shd w:val="clear" w:color="auto" w:fill="auto"/>
            <w:vAlign w:val="center"/>
          </w:tcPr>
          <w:p>
            <w:pPr>
              <w:jc w:val="right"/>
              <w:rPr>
                <w:rFonts w:hint="default" w:ascii="宋体" w:hAnsi="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301</w:t>
            </w:r>
          </w:p>
        </w:tc>
        <w:tc>
          <w:tcPr>
            <w:tcW w:w="567"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07</w:t>
            </w:r>
          </w:p>
        </w:tc>
        <w:tc>
          <w:tcPr>
            <w:tcW w:w="4593" w:type="dxa"/>
            <w:shd w:val="clear" w:color="auto" w:fill="auto"/>
            <w:vAlign w:val="center"/>
          </w:tcPr>
          <w:p>
            <w:pPr>
              <w:jc w:val="left"/>
              <w:rPr>
                <w:rFonts w:hint="default" w:ascii="宋体" w:hAnsi="宋体"/>
                <w:sz w:val="18"/>
                <w:szCs w:val="18"/>
                <w:highlight w:val="none"/>
              </w:rPr>
            </w:pPr>
            <w:r>
              <w:rPr>
                <w:rFonts w:hint="default" w:ascii="宋体" w:hAnsi="宋体"/>
                <w:sz w:val="18"/>
                <w:szCs w:val="18"/>
                <w:highlight w:val="none"/>
              </w:rPr>
              <w:t xml:space="preserve">  绩效工资</w:t>
            </w:r>
          </w:p>
        </w:tc>
        <w:tc>
          <w:tcPr>
            <w:tcW w:w="1367" w:type="dxa"/>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89.63</w:t>
            </w:r>
          </w:p>
        </w:tc>
        <w:tc>
          <w:tcPr>
            <w:tcW w:w="1366" w:type="dxa"/>
            <w:gridSpan w:val="2"/>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89.63</w:t>
            </w:r>
          </w:p>
        </w:tc>
        <w:tc>
          <w:tcPr>
            <w:tcW w:w="1427" w:type="dxa"/>
            <w:shd w:val="clear" w:color="auto" w:fill="auto"/>
            <w:vAlign w:val="center"/>
          </w:tcPr>
          <w:p>
            <w:pPr>
              <w:jc w:val="right"/>
              <w:rPr>
                <w:rFonts w:hint="default" w:ascii="宋体" w:hAnsi="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301</w:t>
            </w:r>
          </w:p>
        </w:tc>
        <w:tc>
          <w:tcPr>
            <w:tcW w:w="567"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08</w:t>
            </w:r>
          </w:p>
        </w:tc>
        <w:tc>
          <w:tcPr>
            <w:tcW w:w="4593" w:type="dxa"/>
            <w:shd w:val="clear" w:color="auto" w:fill="auto"/>
            <w:vAlign w:val="center"/>
          </w:tcPr>
          <w:p>
            <w:pPr>
              <w:jc w:val="left"/>
              <w:rPr>
                <w:rFonts w:hint="default" w:ascii="宋体" w:hAnsi="宋体"/>
                <w:sz w:val="18"/>
                <w:szCs w:val="18"/>
                <w:highlight w:val="none"/>
              </w:rPr>
            </w:pPr>
            <w:r>
              <w:rPr>
                <w:rFonts w:hint="default" w:ascii="宋体" w:hAnsi="宋体"/>
                <w:sz w:val="18"/>
                <w:szCs w:val="18"/>
                <w:highlight w:val="none"/>
              </w:rPr>
              <w:t xml:space="preserve">  机关事业单位基本养老保险缴费</w:t>
            </w:r>
          </w:p>
        </w:tc>
        <w:tc>
          <w:tcPr>
            <w:tcW w:w="1367" w:type="dxa"/>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63.10</w:t>
            </w:r>
          </w:p>
        </w:tc>
        <w:tc>
          <w:tcPr>
            <w:tcW w:w="1366" w:type="dxa"/>
            <w:gridSpan w:val="2"/>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63.10</w:t>
            </w:r>
          </w:p>
        </w:tc>
        <w:tc>
          <w:tcPr>
            <w:tcW w:w="1427" w:type="dxa"/>
            <w:shd w:val="clear" w:color="auto" w:fill="auto"/>
            <w:vAlign w:val="center"/>
          </w:tcPr>
          <w:p>
            <w:pPr>
              <w:jc w:val="right"/>
              <w:rPr>
                <w:rFonts w:hint="default" w:ascii="宋体" w:hAnsi="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301</w:t>
            </w:r>
          </w:p>
        </w:tc>
        <w:tc>
          <w:tcPr>
            <w:tcW w:w="567"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09</w:t>
            </w:r>
          </w:p>
        </w:tc>
        <w:tc>
          <w:tcPr>
            <w:tcW w:w="4593" w:type="dxa"/>
            <w:shd w:val="clear" w:color="auto" w:fill="auto"/>
            <w:vAlign w:val="center"/>
          </w:tcPr>
          <w:p>
            <w:pPr>
              <w:jc w:val="left"/>
              <w:rPr>
                <w:rFonts w:hint="default" w:ascii="宋体" w:hAnsi="宋体"/>
                <w:sz w:val="18"/>
                <w:szCs w:val="18"/>
                <w:highlight w:val="none"/>
              </w:rPr>
            </w:pPr>
            <w:r>
              <w:rPr>
                <w:rFonts w:hint="default" w:ascii="宋体" w:hAnsi="宋体"/>
                <w:sz w:val="18"/>
                <w:szCs w:val="18"/>
                <w:highlight w:val="none"/>
              </w:rPr>
              <w:t xml:space="preserve">  职业年金缴费</w:t>
            </w:r>
          </w:p>
        </w:tc>
        <w:tc>
          <w:tcPr>
            <w:tcW w:w="1367" w:type="dxa"/>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10.00</w:t>
            </w:r>
          </w:p>
        </w:tc>
        <w:tc>
          <w:tcPr>
            <w:tcW w:w="1366" w:type="dxa"/>
            <w:gridSpan w:val="2"/>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10.00</w:t>
            </w:r>
          </w:p>
        </w:tc>
        <w:tc>
          <w:tcPr>
            <w:tcW w:w="1427" w:type="dxa"/>
            <w:shd w:val="clear" w:color="auto" w:fill="auto"/>
            <w:vAlign w:val="center"/>
          </w:tcPr>
          <w:p>
            <w:pPr>
              <w:jc w:val="right"/>
              <w:rPr>
                <w:rFonts w:hint="default" w:ascii="宋体" w:hAnsi="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301</w:t>
            </w:r>
          </w:p>
        </w:tc>
        <w:tc>
          <w:tcPr>
            <w:tcW w:w="567"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10</w:t>
            </w:r>
          </w:p>
        </w:tc>
        <w:tc>
          <w:tcPr>
            <w:tcW w:w="4593" w:type="dxa"/>
            <w:shd w:val="clear" w:color="auto" w:fill="auto"/>
            <w:vAlign w:val="center"/>
          </w:tcPr>
          <w:p>
            <w:pPr>
              <w:jc w:val="left"/>
              <w:rPr>
                <w:rFonts w:hint="default" w:ascii="宋体" w:hAnsi="宋体"/>
                <w:sz w:val="18"/>
                <w:szCs w:val="18"/>
                <w:highlight w:val="none"/>
              </w:rPr>
            </w:pPr>
            <w:r>
              <w:rPr>
                <w:rFonts w:hint="default" w:ascii="宋体" w:hAnsi="宋体"/>
                <w:sz w:val="18"/>
                <w:szCs w:val="18"/>
                <w:highlight w:val="none"/>
              </w:rPr>
              <w:t xml:space="preserve">  职工基本医疗保险缴费</w:t>
            </w:r>
          </w:p>
        </w:tc>
        <w:tc>
          <w:tcPr>
            <w:tcW w:w="1367" w:type="dxa"/>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25.64</w:t>
            </w:r>
          </w:p>
        </w:tc>
        <w:tc>
          <w:tcPr>
            <w:tcW w:w="1366" w:type="dxa"/>
            <w:gridSpan w:val="2"/>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25.64</w:t>
            </w:r>
          </w:p>
        </w:tc>
        <w:tc>
          <w:tcPr>
            <w:tcW w:w="1427" w:type="dxa"/>
            <w:shd w:val="clear" w:color="auto" w:fill="auto"/>
            <w:vAlign w:val="center"/>
          </w:tcPr>
          <w:p>
            <w:pPr>
              <w:jc w:val="right"/>
              <w:rPr>
                <w:rFonts w:hint="default" w:ascii="宋体" w:hAnsi="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301</w:t>
            </w:r>
          </w:p>
        </w:tc>
        <w:tc>
          <w:tcPr>
            <w:tcW w:w="567"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12</w:t>
            </w:r>
          </w:p>
        </w:tc>
        <w:tc>
          <w:tcPr>
            <w:tcW w:w="4593" w:type="dxa"/>
            <w:shd w:val="clear" w:color="auto" w:fill="auto"/>
            <w:vAlign w:val="center"/>
          </w:tcPr>
          <w:p>
            <w:pPr>
              <w:jc w:val="left"/>
              <w:rPr>
                <w:rFonts w:hint="default" w:ascii="宋体" w:hAnsi="宋体"/>
                <w:sz w:val="18"/>
                <w:szCs w:val="18"/>
                <w:highlight w:val="none"/>
              </w:rPr>
            </w:pPr>
            <w:r>
              <w:rPr>
                <w:rFonts w:hint="default" w:ascii="宋体" w:hAnsi="宋体"/>
                <w:sz w:val="18"/>
                <w:szCs w:val="18"/>
                <w:highlight w:val="none"/>
              </w:rPr>
              <w:t xml:space="preserve">  其他社会保障缴费</w:t>
            </w:r>
          </w:p>
        </w:tc>
        <w:tc>
          <w:tcPr>
            <w:tcW w:w="1367" w:type="dxa"/>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4.40</w:t>
            </w:r>
          </w:p>
        </w:tc>
        <w:tc>
          <w:tcPr>
            <w:tcW w:w="1366" w:type="dxa"/>
            <w:gridSpan w:val="2"/>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4.40</w:t>
            </w:r>
          </w:p>
        </w:tc>
        <w:tc>
          <w:tcPr>
            <w:tcW w:w="1427" w:type="dxa"/>
            <w:shd w:val="clear" w:color="auto" w:fill="auto"/>
            <w:vAlign w:val="center"/>
          </w:tcPr>
          <w:p>
            <w:pPr>
              <w:jc w:val="right"/>
              <w:rPr>
                <w:rFonts w:hint="default" w:ascii="宋体" w:hAnsi="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301</w:t>
            </w:r>
          </w:p>
        </w:tc>
        <w:tc>
          <w:tcPr>
            <w:tcW w:w="567"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13</w:t>
            </w:r>
          </w:p>
        </w:tc>
        <w:tc>
          <w:tcPr>
            <w:tcW w:w="4593" w:type="dxa"/>
            <w:shd w:val="clear" w:color="auto" w:fill="auto"/>
            <w:vAlign w:val="center"/>
          </w:tcPr>
          <w:p>
            <w:pPr>
              <w:jc w:val="left"/>
              <w:rPr>
                <w:rFonts w:hint="default" w:ascii="宋体" w:hAnsi="宋体"/>
                <w:sz w:val="18"/>
                <w:szCs w:val="18"/>
                <w:highlight w:val="none"/>
              </w:rPr>
            </w:pPr>
            <w:r>
              <w:rPr>
                <w:rFonts w:hint="default" w:ascii="宋体" w:hAnsi="宋体"/>
                <w:sz w:val="18"/>
                <w:szCs w:val="18"/>
                <w:highlight w:val="none"/>
              </w:rPr>
              <w:t xml:space="preserve">  住房公积金</w:t>
            </w:r>
          </w:p>
        </w:tc>
        <w:tc>
          <w:tcPr>
            <w:tcW w:w="1367" w:type="dxa"/>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47.33</w:t>
            </w:r>
          </w:p>
        </w:tc>
        <w:tc>
          <w:tcPr>
            <w:tcW w:w="1366" w:type="dxa"/>
            <w:gridSpan w:val="2"/>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47.33</w:t>
            </w:r>
          </w:p>
        </w:tc>
        <w:tc>
          <w:tcPr>
            <w:tcW w:w="1427" w:type="dxa"/>
            <w:shd w:val="clear" w:color="auto" w:fill="auto"/>
            <w:vAlign w:val="center"/>
          </w:tcPr>
          <w:p>
            <w:pPr>
              <w:jc w:val="right"/>
              <w:rPr>
                <w:rFonts w:hint="default" w:ascii="宋体" w:hAnsi="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b/>
                <w:sz w:val="18"/>
                <w:szCs w:val="18"/>
                <w:highlight w:val="none"/>
              </w:rPr>
            </w:pPr>
            <w:r>
              <w:rPr>
                <w:rFonts w:hint="default" w:ascii="宋体" w:hAnsi="宋体"/>
                <w:b/>
                <w:sz w:val="18"/>
                <w:szCs w:val="18"/>
                <w:highlight w:val="none"/>
              </w:rPr>
              <w:t>303</w:t>
            </w:r>
          </w:p>
        </w:tc>
        <w:tc>
          <w:tcPr>
            <w:tcW w:w="567" w:type="dxa"/>
            <w:shd w:val="clear" w:color="auto" w:fill="auto"/>
            <w:vAlign w:val="center"/>
          </w:tcPr>
          <w:p>
            <w:pPr>
              <w:jc w:val="center"/>
              <w:rPr>
                <w:rFonts w:hint="default" w:ascii="宋体" w:hAnsi="宋体"/>
                <w:b/>
                <w:sz w:val="18"/>
                <w:szCs w:val="18"/>
                <w:highlight w:val="none"/>
              </w:rPr>
            </w:pPr>
          </w:p>
        </w:tc>
        <w:tc>
          <w:tcPr>
            <w:tcW w:w="4593" w:type="dxa"/>
            <w:shd w:val="clear" w:color="auto" w:fill="auto"/>
            <w:vAlign w:val="center"/>
          </w:tcPr>
          <w:p>
            <w:pPr>
              <w:jc w:val="left"/>
              <w:rPr>
                <w:rFonts w:hint="default" w:ascii="宋体" w:hAnsi="宋体"/>
                <w:b/>
                <w:sz w:val="18"/>
                <w:szCs w:val="18"/>
                <w:highlight w:val="none"/>
              </w:rPr>
            </w:pPr>
            <w:r>
              <w:rPr>
                <w:rFonts w:hint="default" w:ascii="宋体" w:hAnsi="宋体"/>
                <w:b/>
                <w:sz w:val="18"/>
                <w:szCs w:val="18"/>
                <w:highlight w:val="none"/>
              </w:rPr>
              <w:t>对个人和家庭的补助</w:t>
            </w:r>
          </w:p>
        </w:tc>
        <w:tc>
          <w:tcPr>
            <w:tcW w:w="1367" w:type="dxa"/>
            <w:shd w:val="clear" w:color="auto" w:fill="auto"/>
            <w:vAlign w:val="center"/>
          </w:tcPr>
          <w:p>
            <w:pPr>
              <w:jc w:val="right"/>
              <w:rPr>
                <w:rFonts w:hint="default" w:ascii="宋体" w:hAnsi="宋体"/>
                <w:b/>
                <w:sz w:val="18"/>
                <w:szCs w:val="18"/>
                <w:highlight w:val="none"/>
              </w:rPr>
            </w:pPr>
            <w:r>
              <w:rPr>
                <w:rFonts w:hint="default" w:ascii="宋体" w:hAnsi="宋体"/>
                <w:b/>
                <w:sz w:val="18"/>
                <w:szCs w:val="18"/>
                <w:highlight w:val="none"/>
              </w:rPr>
              <w:t>5.49</w:t>
            </w:r>
          </w:p>
        </w:tc>
        <w:tc>
          <w:tcPr>
            <w:tcW w:w="1366" w:type="dxa"/>
            <w:gridSpan w:val="2"/>
            <w:shd w:val="clear" w:color="auto" w:fill="auto"/>
            <w:vAlign w:val="center"/>
          </w:tcPr>
          <w:p>
            <w:pPr>
              <w:jc w:val="right"/>
              <w:rPr>
                <w:rFonts w:hint="default" w:ascii="宋体" w:hAnsi="宋体"/>
                <w:b/>
                <w:sz w:val="18"/>
                <w:szCs w:val="18"/>
                <w:highlight w:val="none"/>
              </w:rPr>
            </w:pPr>
            <w:r>
              <w:rPr>
                <w:rFonts w:hint="default" w:ascii="宋体" w:hAnsi="宋体"/>
                <w:b/>
                <w:sz w:val="18"/>
                <w:szCs w:val="18"/>
                <w:highlight w:val="none"/>
              </w:rPr>
              <w:t>5.49</w:t>
            </w:r>
          </w:p>
        </w:tc>
        <w:tc>
          <w:tcPr>
            <w:tcW w:w="1427" w:type="dxa"/>
            <w:shd w:val="clear" w:color="auto" w:fill="auto"/>
            <w:vAlign w:val="center"/>
          </w:tcPr>
          <w:p>
            <w:pPr>
              <w:jc w:val="right"/>
              <w:rPr>
                <w:rFonts w:hint="default" w:ascii="宋体" w:hAnsi="宋体"/>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303</w:t>
            </w:r>
          </w:p>
        </w:tc>
        <w:tc>
          <w:tcPr>
            <w:tcW w:w="567"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02</w:t>
            </w:r>
          </w:p>
        </w:tc>
        <w:tc>
          <w:tcPr>
            <w:tcW w:w="4593" w:type="dxa"/>
            <w:shd w:val="clear" w:color="auto" w:fill="auto"/>
            <w:vAlign w:val="center"/>
          </w:tcPr>
          <w:p>
            <w:pPr>
              <w:jc w:val="left"/>
              <w:rPr>
                <w:rFonts w:hint="default" w:ascii="宋体" w:hAnsi="宋体"/>
                <w:sz w:val="18"/>
                <w:szCs w:val="18"/>
                <w:highlight w:val="none"/>
              </w:rPr>
            </w:pPr>
            <w:r>
              <w:rPr>
                <w:rFonts w:hint="default" w:ascii="宋体" w:hAnsi="宋体"/>
                <w:sz w:val="18"/>
                <w:szCs w:val="18"/>
                <w:highlight w:val="none"/>
              </w:rPr>
              <w:t xml:space="preserve">  退休费</w:t>
            </w:r>
          </w:p>
        </w:tc>
        <w:tc>
          <w:tcPr>
            <w:tcW w:w="1367" w:type="dxa"/>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4.34</w:t>
            </w:r>
          </w:p>
        </w:tc>
        <w:tc>
          <w:tcPr>
            <w:tcW w:w="1366" w:type="dxa"/>
            <w:gridSpan w:val="2"/>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4.34</w:t>
            </w:r>
          </w:p>
        </w:tc>
        <w:tc>
          <w:tcPr>
            <w:tcW w:w="1427" w:type="dxa"/>
            <w:shd w:val="clear" w:color="auto" w:fill="auto"/>
            <w:vAlign w:val="center"/>
          </w:tcPr>
          <w:p>
            <w:pPr>
              <w:jc w:val="right"/>
              <w:rPr>
                <w:rFonts w:hint="default" w:ascii="宋体" w:hAnsi="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303</w:t>
            </w:r>
          </w:p>
        </w:tc>
        <w:tc>
          <w:tcPr>
            <w:tcW w:w="567"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05</w:t>
            </w:r>
          </w:p>
        </w:tc>
        <w:tc>
          <w:tcPr>
            <w:tcW w:w="4593" w:type="dxa"/>
            <w:shd w:val="clear" w:color="auto" w:fill="auto"/>
            <w:vAlign w:val="center"/>
          </w:tcPr>
          <w:p>
            <w:pPr>
              <w:jc w:val="left"/>
              <w:rPr>
                <w:rFonts w:hint="default" w:ascii="宋体" w:hAnsi="宋体"/>
                <w:sz w:val="18"/>
                <w:szCs w:val="18"/>
                <w:highlight w:val="none"/>
              </w:rPr>
            </w:pPr>
            <w:r>
              <w:rPr>
                <w:rFonts w:hint="default" w:ascii="宋体" w:hAnsi="宋体"/>
                <w:sz w:val="18"/>
                <w:szCs w:val="18"/>
                <w:highlight w:val="none"/>
              </w:rPr>
              <w:t xml:space="preserve">  生活补助</w:t>
            </w:r>
          </w:p>
        </w:tc>
        <w:tc>
          <w:tcPr>
            <w:tcW w:w="1367" w:type="dxa"/>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1.15</w:t>
            </w:r>
          </w:p>
        </w:tc>
        <w:tc>
          <w:tcPr>
            <w:tcW w:w="1366" w:type="dxa"/>
            <w:gridSpan w:val="2"/>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1.15</w:t>
            </w:r>
          </w:p>
        </w:tc>
        <w:tc>
          <w:tcPr>
            <w:tcW w:w="1427" w:type="dxa"/>
            <w:shd w:val="clear" w:color="auto" w:fill="auto"/>
            <w:vAlign w:val="center"/>
          </w:tcPr>
          <w:p>
            <w:pPr>
              <w:jc w:val="right"/>
              <w:rPr>
                <w:rFonts w:hint="default" w:ascii="宋体" w:hAnsi="宋体"/>
                <w:sz w:val="18"/>
                <w:szCs w:val="18"/>
                <w:highlight w:val="none"/>
              </w:rPr>
            </w:pPr>
          </w:p>
        </w:tc>
      </w:tr>
    </w:tbl>
    <w:p>
      <w:pPr>
        <w:widowControl/>
        <w:jc w:val="left"/>
        <w:rPr>
          <w:rFonts w:hint="default" w:ascii="仿宋" w:eastAsia="仿宋"/>
          <w:b/>
          <w:color w:val="000000"/>
          <w:szCs w:val="21"/>
          <w:highlight w:val="none"/>
        </w:rPr>
        <w:sectPr>
          <w:pgSz w:w="11906" w:h="16838"/>
          <w:pgMar w:top="1134" w:right="1134" w:bottom="1134" w:left="1134" w:header="851" w:footer="992" w:gutter="0"/>
          <w:cols w:space="425" w:num="1"/>
          <w:docGrid w:type="lines" w:linePitch="312" w:charSpace="0"/>
        </w:sectPr>
      </w:pPr>
    </w:p>
    <w:p>
      <w:pPr>
        <w:rPr>
          <w:highlight w:val="none"/>
        </w:rPr>
      </w:pPr>
      <w:r>
        <w:rPr>
          <w:rFonts w:hint="eastAsia" w:ascii="宋体" w:hAnsi="宋体"/>
          <w:color w:val="000000"/>
          <w:sz w:val="18"/>
          <w:szCs w:val="18"/>
          <w:highlight w:val="none"/>
        </w:rPr>
        <w:t>表7</w:t>
      </w:r>
    </w:p>
    <w:p>
      <w:pPr>
        <w:jc w:val="center"/>
        <w:rPr>
          <w:rFonts w:hint="default" w:ascii="仿宋" w:hAnsi="宋体" w:eastAsia="仿宋"/>
          <w:b/>
          <w:color w:val="000000"/>
          <w:sz w:val="28"/>
          <w:szCs w:val="28"/>
          <w:highlight w:val="none"/>
        </w:rPr>
      </w:pPr>
      <w:r>
        <w:rPr>
          <w:rFonts w:hint="eastAsia" w:ascii="仿宋" w:hAnsi="宋体" w:eastAsia="仿宋"/>
          <w:b/>
          <w:color w:val="000000"/>
          <w:sz w:val="28"/>
          <w:szCs w:val="28"/>
          <w:highlight w:val="none"/>
        </w:rPr>
        <w:t>一般公共预算项目支出情况表</w:t>
      </w:r>
    </w:p>
    <w:tbl>
      <w:tblPr>
        <w:tblStyle w:val="7"/>
        <w:tblW w:w="147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300"/>
        <w:gridCol w:w="260"/>
        <w:gridCol w:w="331"/>
        <w:gridCol w:w="2073"/>
        <w:gridCol w:w="2073"/>
        <w:gridCol w:w="881"/>
        <w:gridCol w:w="881"/>
        <w:gridCol w:w="881"/>
        <w:gridCol w:w="881"/>
        <w:gridCol w:w="881"/>
        <w:gridCol w:w="881"/>
        <w:gridCol w:w="881"/>
        <w:gridCol w:w="882"/>
        <w:gridCol w:w="783"/>
        <w:gridCol w:w="981"/>
        <w:gridCol w:w="8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52" w:hRule="atLeast"/>
          <w:tblHeader/>
        </w:trPr>
        <w:tc>
          <w:tcPr>
            <w:tcW w:w="12869" w:type="dxa"/>
            <w:gridSpan w:val="14"/>
            <w:tcBorders>
              <w:top w:val="nil"/>
              <w:left w:val="nil"/>
              <w:right w:val="nil"/>
            </w:tcBorders>
            <w:shd w:val="clear" w:color="auto" w:fill="auto"/>
            <w:vAlign w:val="center"/>
          </w:tcPr>
          <w:p>
            <w:pPr>
              <w:jc w:val="left"/>
              <w:rPr>
                <w:sz w:val="18"/>
                <w:szCs w:val="18"/>
                <w:highlight w:val="none"/>
              </w:rPr>
            </w:pPr>
            <w:r>
              <w:rPr>
                <w:rFonts w:hint="eastAsia"/>
                <w:color w:val="000000"/>
                <w:sz w:val="18"/>
                <w:szCs w:val="18"/>
                <w:highlight w:val="none"/>
              </w:rPr>
              <w:t>编制部门：皮山县木奎拉乡卫生院</w:t>
            </w:r>
          </w:p>
        </w:tc>
        <w:tc>
          <w:tcPr>
            <w:tcW w:w="1863" w:type="dxa"/>
            <w:gridSpan w:val="2"/>
            <w:tcBorders>
              <w:top w:val="nil"/>
              <w:left w:val="nil"/>
              <w:right w:val="nil"/>
            </w:tcBorders>
            <w:shd w:val="clear" w:color="auto" w:fill="auto"/>
            <w:vAlign w:val="center"/>
          </w:tcPr>
          <w:p>
            <w:pPr>
              <w:jc w:val="right"/>
              <w:rPr>
                <w:sz w:val="18"/>
                <w:szCs w:val="18"/>
                <w:highlight w:val="none"/>
              </w:rPr>
            </w:pPr>
            <w:r>
              <w:rPr>
                <w:rFonts w:hint="eastAsia"/>
                <w:color w:val="000000"/>
                <w:sz w:val="18"/>
                <w:szCs w:val="18"/>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711" w:hRule="atLeast"/>
          <w:tblHeader/>
        </w:trPr>
        <w:tc>
          <w:tcPr>
            <w:tcW w:w="891" w:type="dxa"/>
            <w:gridSpan w:val="3"/>
            <w:shd w:val="clear" w:color="auto" w:fill="auto"/>
            <w:vAlign w:val="center"/>
          </w:tcPr>
          <w:p>
            <w:pPr>
              <w:jc w:val="center"/>
              <w:rPr>
                <w:sz w:val="18"/>
                <w:szCs w:val="18"/>
                <w:highlight w:val="none"/>
              </w:rPr>
            </w:pPr>
            <w:r>
              <w:rPr>
                <w:rFonts w:hint="eastAsia"/>
                <w:sz w:val="18"/>
                <w:szCs w:val="18"/>
                <w:highlight w:val="none"/>
              </w:rPr>
              <w:t>科目编码</w:t>
            </w:r>
          </w:p>
        </w:tc>
        <w:tc>
          <w:tcPr>
            <w:tcW w:w="2073" w:type="dxa"/>
            <w:vMerge w:val="restart"/>
            <w:shd w:val="clear" w:color="auto" w:fill="auto"/>
            <w:vAlign w:val="center"/>
          </w:tcPr>
          <w:p>
            <w:pPr>
              <w:jc w:val="center"/>
              <w:rPr>
                <w:sz w:val="18"/>
                <w:szCs w:val="18"/>
                <w:highlight w:val="none"/>
              </w:rPr>
            </w:pPr>
            <w:r>
              <w:rPr>
                <w:rFonts w:hint="eastAsia"/>
                <w:sz w:val="18"/>
                <w:szCs w:val="18"/>
                <w:highlight w:val="none"/>
              </w:rPr>
              <w:t>功能分类科目名称</w:t>
            </w:r>
          </w:p>
        </w:tc>
        <w:tc>
          <w:tcPr>
            <w:tcW w:w="2073" w:type="dxa"/>
            <w:vMerge w:val="restart"/>
            <w:shd w:val="clear" w:color="auto" w:fill="auto"/>
            <w:vAlign w:val="center"/>
          </w:tcPr>
          <w:p>
            <w:pPr>
              <w:jc w:val="center"/>
              <w:rPr>
                <w:sz w:val="18"/>
                <w:szCs w:val="18"/>
                <w:highlight w:val="none"/>
              </w:rPr>
            </w:pPr>
            <w:r>
              <w:rPr>
                <w:rFonts w:hint="eastAsia"/>
                <w:sz w:val="18"/>
                <w:szCs w:val="18"/>
                <w:highlight w:val="none"/>
              </w:rPr>
              <w:t>项目名称</w:t>
            </w:r>
          </w:p>
        </w:tc>
        <w:tc>
          <w:tcPr>
            <w:tcW w:w="881" w:type="dxa"/>
            <w:vMerge w:val="restart"/>
            <w:shd w:val="clear" w:color="auto" w:fill="auto"/>
            <w:vAlign w:val="center"/>
          </w:tcPr>
          <w:p>
            <w:pPr>
              <w:jc w:val="center"/>
              <w:rPr>
                <w:sz w:val="18"/>
                <w:szCs w:val="18"/>
                <w:highlight w:val="none"/>
              </w:rPr>
            </w:pPr>
            <w:r>
              <w:rPr>
                <w:rFonts w:hint="eastAsia"/>
                <w:sz w:val="18"/>
                <w:szCs w:val="18"/>
                <w:highlight w:val="none"/>
              </w:rPr>
              <w:t>项目支出合计</w:t>
            </w:r>
          </w:p>
        </w:tc>
        <w:tc>
          <w:tcPr>
            <w:tcW w:w="881" w:type="dxa"/>
            <w:vMerge w:val="restart"/>
            <w:shd w:val="clear" w:color="auto" w:fill="auto"/>
            <w:vAlign w:val="center"/>
          </w:tcPr>
          <w:p>
            <w:pPr>
              <w:jc w:val="center"/>
              <w:rPr>
                <w:sz w:val="18"/>
                <w:szCs w:val="18"/>
                <w:highlight w:val="none"/>
              </w:rPr>
            </w:pPr>
            <w:r>
              <w:rPr>
                <w:rFonts w:hint="eastAsia"/>
                <w:sz w:val="18"/>
                <w:szCs w:val="18"/>
                <w:highlight w:val="none"/>
              </w:rPr>
              <w:t>工资福利支出</w:t>
            </w:r>
          </w:p>
        </w:tc>
        <w:tc>
          <w:tcPr>
            <w:tcW w:w="881" w:type="dxa"/>
            <w:vMerge w:val="restart"/>
            <w:shd w:val="clear" w:color="auto" w:fill="auto"/>
            <w:vAlign w:val="center"/>
          </w:tcPr>
          <w:p>
            <w:pPr>
              <w:jc w:val="center"/>
              <w:rPr>
                <w:sz w:val="18"/>
                <w:szCs w:val="18"/>
                <w:highlight w:val="none"/>
              </w:rPr>
            </w:pPr>
            <w:r>
              <w:rPr>
                <w:rFonts w:hint="eastAsia"/>
                <w:sz w:val="18"/>
                <w:szCs w:val="18"/>
                <w:highlight w:val="none"/>
              </w:rPr>
              <w:t>商品和服务支出</w:t>
            </w:r>
          </w:p>
        </w:tc>
        <w:tc>
          <w:tcPr>
            <w:tcW w:w="881" w:type="dxa"/>
            <w:vMerge w:val="restart"/>
            <w:shd w:val="clear" w:color="auto" w:fill="auto"/>
            <w:vAlign w:val="center"/>
          </w:tcPr>
          <w:p>
            <w:pPr>
              <w:jc w:val="center"/>
              <w:rPr>
                <w:sz w:val="18"/>
                <w:szCs w:val="18"/>
                <w:highlight w:val="none"/>
              </w:rPr>
            </w:pPr>
            <w:r>
              <w:rPr>
                <w:rFonts w:hint="eastAsia"/>
                <w:sz w:val="18"/>
                <w:szCs w:val="18"/>
                <w:highlight w:val="none"/>
              </w:rPr>
              <w:t>对个人和家庭的补助</w:t>
            </w:r>
          </w:p>
        </w:tc>
        <w:tc>
          <w:tcPr>
            <w:tcW w:w="881" w:type="dxa"/>
            <w:vMerge w:val="restart"/>
            <w:shd w:val="clear" w:color="auto" w:fill="auto"/>
            <w:vAlign w:val="center"/>
          </w:tcPr>
          <w:p>
            <w:pPr>
              <w:jc w:val="center"/>
              <w:rPr>
                <w:sz w:val="18"/>
                <w:szCs w:val="18"/>
                <w:highlight w:val="none"/>
              </w:rPr>
            </w:pPr>
            <w:r>
              <w:rPr>
                <w:rFonts w:hint="eastAsia"/>
                <w:sz w:val="18"/>
                <w:szCs w:val="18"/>
                <w:highlight w:val="none"/>
              </w:rPr>
              <w:t>债务利息及费用支出</w:t>
            </w:r>
          </w:p>
        </w:tc>
        <w:tc>
          <w:tcPr>
            <w:tcW w:w="881" w:type="dxa"/>
            <w:vMerge w:val="restart"/>
            <w:shd w:val="clear" w:color="auto" w:fill="auto"/>
            <w:vAlign w:val="center"/>
          </w:tcPr>
          <w:p>
            <w:pPr>
              <w:jc w:val="center"/>
              <w:rPr>
                <w:sz w:val="18"/>
                <w:szCs w:val="18"/>
                <w:highlight w:val="none"/>
              </w:rPr>
            </w:pPr>
            <w:r>
              <w:rPr>
                <w:rFonts w:hint="eastAsia"/>
                <w:sz w:val="18"/>
                <w:szCs w:val="18"/>
                <w:highlight w:val="none"/>
              </w:rPr>
              <w:t>资本性支出（基本建设）</w:t>
            </w:r>
          </w:p>
        </w:tc>
        <w:tc>
          <w:tcPr>
            <w:tcW w:w="881" w:type="dxa"/>
            <w:vMerge w:val="restart"/>
            <w:shd w:val="clear" w:color="auto" w:fill="auto"/>
            <w:vAlign w:val="center"/>
          </w:tcPr>
          <w:p>
            <w:pPr>
              <w:jc w:val="center"/>
              <w:rPr>
                <w:sz w:val="18"/>
                <w:szCs w:val="18"/>
                <w:highlight w:val="none"/>
              </w:rPr>
            </w:pPr>
            <w:r>
              <w:rPr>
                <w:rFonts w:hint="eastAsia"/>
                <w:sz w:val="18"/>
                <w:szCs w:val="18"/>
                <w:highlight w:val="none"/>
              </w:rPr>
              <w:t>资本性支出</w:t>
            </w:r>
          </w:p>
        </w:tc>
        <w:tc>
          <w:tcPr>
            <w:tcW w:w="882" w:type="dxa"/>
            <w:vMerge w:val="restart"/>
            <w:shd w:val="clear" w:color="auto" w:fill="auto"/>
            <w:vAlign w:val="center"/>
          </w:tcPr>
          <w:p>
            <w:pPr>
              <w:jc w:val="center"/>
              <w:rPr>
                <w:sz w:val="18"/>
                <w:szCs w:val="18"/>
                <w:highlight w:val="none"/>
              </w:rPr>
            </w:pPr>
            <w:r>
              <w:rPr>
                <w:rFonts w:hint="eastAsia"/>
                <w:sz w:val="18"/>
                <w:szCs w:val="18"/>
                <w:highlight w:val="none"/>
              </w:rPr>
              <w:t>对企业补助（基本建设）</w:t>
            </w:r>
          </w:p>
        </w:tc>
        <w:tc>
          <w:tcPr>
            <w:tcW w:w="783" w:type="dxa"/>
            <w:vMerge w:val="restart"/>
            <w:shd w:val="clear" w:color="auto" w:fill="auto"/>
            <w:vAlign w:val="center"/>
          </w:tcPr>
          <w:p>
            <w:pPr>
              <w:jc w:val="center"/>
              <w:rPr>
                <w:sz w:val="18"/>
                <w:szCs w:val="18"/>
                <w:highlight w:val="none"/>
              </w:rPr>
            </w:pPr>
            <w:r>
              <w:rPr>
                <w:rFonts w:hint="eastAsia"/>
                <w:sz w:val="18"/>
                <w:szCs w:val="18"/>
                <w:highlight w:val="none"/>
              </w:rPr>
              <w:t>对企业补助</w:t>
            </w:r>
          </w:p>
        </w:tc>
        <w:tc>
          <w:tcPr>
            <w:tcW w:w="981" w:type="dxa"/>
            <w:vMerge w:val="restart"/>
            <w:shd w:val="clear" w:color="auto" w:fill="auto"/>
            <w:vAlign w:val="center"/>
          </w:tcPr>
          <w:p>
            <w:pPr>
              <w:jc w:val="center"/>
              <w:rPr>
                <w:sz w:val="18"/>
                <w:szCs w:val="18"/>
                <w:highlight w:val="none"/>
              </w:rPr>
            </w:pPr>
            <w:r>
              <w:rPr>
                <w:rFonts w:hint="eastAsia"/>
                <w:sz w:val="18"/>
                <w:szCs w:val="18"/>
                <w:highlight w:val="none"/>
              </w:rPr>
              <w:t>对社会保障基金补助</w:t>
            </w:r>
          </w:p>
        </w:tc>
        <w:tc>
          <w:tcPr>
            <w:tcW w:w="882" w:type="dxa"/>
            <w:vMerge w:val="restart"/>
            <w:shd w:val="clear" w:color="auto" w:fill="auto"/>
            <w:vAlign w:val="center"/>
          </w:tcPr>
          <w:p>
            <w:pPr>
              <w:jc w:val="center"/>
              <w:rPr>
                <w:sz w:val="18"/>
                <w:szCs w:val="18"/>
                <w:highlight w:val="none"/>
              </w:rPr>
            </w:pPr>
            <w:r>
              <w:rPr>
                <w:rFonts w:hint="eastAsia"/>
                <w:sz w:val="18"/>
                <w:szCs w:val="18"/>
                <w:highlight w:val="none"/>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622" w:hRule="atLeast"/>
          <w:tblHeader/>
        </w:trPr>
        <w:tc>
          <w:tcPr>
            <w:tcW w:w="300" w:type="dxa"/>
            <w:shd w:val="clear" w:color="auto" w:fill="auto"/>
            <w:vAlign w:val="center"/>
          </w:tcPr>
          <w:p>
            <w:pPr>
              <w:jc w:val="center"/>
              <w:rPr>
                <w:sz w:val="18"/>
                <w:szCs w:val="18"/>
                <w:highlight w:val="none"/>
              </w:rPr>
            </w:pPr>
            <w:r>
              <w:rPr>
                <w:rFonts w:hint="eastAsia"/>
                <w:sz w:val="18"/>
                <w:szCs w:val="18"/>
                <w:highlight w:val="none"/>
              </w:rPr>
              <w:t>类</w:t>
            </w:r>
          </w:p>
        </w:tc>
        <w:tc>
          <w:tcPr>
            <w:tcW w:w="260" w:type="dxa"/>
            <w:shd w:val="clear" w:color="auto" w:fill="auto"/>
            <w:vAlign w:val="center"/>
          </w:tcPr>
          <w:p>
            <w:pPr>
              <w:jc w:val="center"/>
              <w:rPr>
                <w:sz w:val="18"/>
                <w:szCs w:val="18"/>
                <w:highlight w:val="none"/>
              </w:rPr>
            </w:pPr>
            <w:r>
              <w:rPr>
                <w:rFonts w:hint="eastAsia"/>
                <w:sz w:val="18"/>
                <w:szCs w:val="18"/>
                <w:highlight w:val="none"/>
              </w:rPr>
              <w:t>款</w:t>
            </w:r>
          </w:p>
        </w:tc>
        <w:tc>
          <w:tcPr>
            <w:tcW w:w="331" w:type="dxa"/>
            <w:shd w:val="clear" w:color="auto" w:fill="auto"/>
            <w:vAlign w:val="center"/>
          </w:tcPr>
          <w:p>
            <w:pPr>
              <w:jc w:val="center"/>
              <w:rPr>
                <w:sz w:val="18"/>
                <w:szCs w:val="18"/>
                <w:highlight w:val="none"/>
              </w:rPr>
            </w:pPr>
            <w:r>
              <w:rPr>
                <w:rFonts w:hint="eastAsia"/>
                <w:sz w:val="18"/>
                <w:szCs w:val="18"/>
                <w:highlight w:val="none"/>
              </w:rPr>
              <w:t>项</w:t>
            </w:r>
          </w:p>
        </w:tc>
        <w:tc>
          <w:tcPr>
            <w:tcW w:w="2073" w:type="dxa"/>
            <w:vMerge w:val="continue"/>
            <w:shd w:val="clear" w:color="auto" w:fill="auto"/>
            <w:vAlign w:val="center"/>
          </w:tcPr>
          <w:p>
            <w:pPr>
              <w:jc w:val="center"/>
              <w:rPr>
                <w:sz w:val="18"/>
                <w:szCs w:val="18"/>
                <w:highlight w:val="none"/>
              </w:rPr>
            </w:pPr>
          </w:p>
        </w:tc>
        <w:tc>
          <w:tcPr>
            <w:tcW w:w="2073" w:type="dxa"/>
            <w:vMerge w:val="continue"/>
            <w:shd w:val="clear" w:color="auto" w:fill="auto"/>
            <w:vAlign w:val="center"/>
          </w:tcPr>
          <w:p>
            <w:pPr>
              <w:jc w:val="center"/>
              <w:rPr>
                <w:sz w:val="18"/>
                <w:szCs w:val="18"/>
                <w:highlight w:val="none"/>
              </w:rPr>
            </w:pPr>
          </w:p>
        </w:tc>
        <w:tc>
          <w:tcPr>
            <w:tcW w:w="881" w:type="dxa"/>
            <w:vMerge w:val="continue"/>
            <w:shd w:val="clear" w:color="auto" w:fill="auto"/>
            <w:vAlign w:val="center"/>
          </w:tcPr>
          <w:p>
            <w:pPr>
              <w:jc w:val="center"/>
              <w:rPr>
                <w:sz w:val="18"/>
                <w:szCs w:val="18"/>
                <w:highlight w:val="none"/>
              </w:rPr>
            </w:pPr>
          </w:p>
        </w:tc>
        <w:tc>
          <w:tcPr>
            <w:tcW w:w="881" w:type="dxa"/>
            <w:vMerge w:val="continue"/>
            <w:shd w:val="clear" w:color="auto" w:fill="auto"/>
            <w:vAlign w:val="center"/>
          </w:tcPr>
          <w:p>
            <w:pPr>
              <w:jc w:val="center"/>
              <w:rPr>
                <w:sz w:val="18"/>
                <w:szCs w:val="18"/>
                <w:highlight w:val="none"/>
              </w:rPr>
            </w:pPr>
          </w:p>
        </w:tc>
        <w:tc>
          <w:tcPr>
            <w:tcW w:w="881" w:type="dxa"/>
            <w:vMerge w:val="continue"/>
            <w:shd w:val="clear" w:color="auto" w:fill="auto"/>
            <w:vAlign w:val="center"/>
          </w:tcPr>
          <w:p>
            <w:pPr>
              <w:jc w:val="center"/>
              <w:rPr>
                <w:sz w:val="18"/>
                <w:szCs w:val="18"/>
                <w:highlight w:val="none"/>
              </w:rPr>
            </w:pPr>
          </w:p>
        </w:tc>
        <w:tc>
          <w:tcPr>
            <w:tcW w:w="881" w:type="dxa"/>
            <w:vMerge w:val="continue"/>
            <w:shd w:val="clear" w:color="auto" w:fill="auto"/>
            <w:vAlign w:val="center"/>
          </w:tcPr>
          <w:p>
            <w:pPr>
              <w:jc w:val="center"/>
              <w:rPr>
                <w:sz w:val="18"/>
                <w:szCs w:val="18"/>
                <w:highlight w:val="none"/>
              </w:rPr>
            </w:pPr>
          </w:p>
        </w:tc>
        <w:tc>
          <w:tcPr>
            <w:tcW w:w="881" w:type="dxa"/>
            <w:vMerge w:val="continue"/>
            <w:shd w:val="clear" w:color="auto" w:fill="auto"/>
            <w:vAlign w:val="center"/>
          </w:tcPr>
          <w:p>
            <w:pPr>
              <w:jc w:val="center"/>
              <w:rPr>
                <w:sz w:val="18"/>
                <w:szCs w:val="18"/>
                <w:highlight w:val="none"/>
              </w:rPr>
            </w:pPr>
          </w:p>
        </w:tc>
        <w:tc>
          <w:tcPr>
            <w:tcW w:w="881" w:type="dxa"/>
            <w:vMerge w:val="continue"/>
            <w:shd w:val="clear" w:color="auto" w:fill="auto"/>
            <w:vAlign w:val="center"/>
          </w:tcPr>
          <w:p>
            <w:pPr>
              <w:jc w:val="center"/>
              <w:rPr>
                <w:sz w:val="18"/>
                <w:szCs w:val="18"/>
                <w:highlight w:val="none"/>
              </w:rPr>
            </w:pPr>
          </w:p>
        </w:tc>
        <w:tc>
          <w:tcPr>
            <w:tcW w:w="881" w:type="dxa"/>
            <w:vMerge w:val="continue"/>
            <w:shd w:val="clear" w:color="auto" w:fill="auto"/>
            <w:vAlign w:val="center"/>
          </w:tcPr>
          <w:p>
            <w:pPr>
              <w:jc w:val="center"/>
              <w:rPr>
                <w:sz w:val="18"/>
                <w:szCs w:val="18"/>
                <w:highlight w:val="none"/>
              </w:rPr>
            </w:pPr>
          </w:p>
        </w:tc>
        <w:tc>
          <w:tcPr>
            <w:tcW w:w="882" w:type="dxa"/>
            <w:vMerge w:val="continue"/>
            <w:shd w:val="clear" w:color="auto" w:fill="auto"/>
          </w:tcPr>
          <w:p>
            <w:pPr>
              <w:jc w:val="center"/>
              <w:rPr>
                <w:sz w:val="18"/>
                <w:szCs w:val="18"/>
                <w:highlight w:val="none"/>
              </w:rPr>
            </w:pPr>
          </w:p>
        </w:tc>
        <w:tc>
          <w:tcPr>
            <w:tcW w:w="783" w:type="dxa"/>
            <w:vMerge w:val="continue"/>
            <w:shd w:val="clear" w:color="auto" w:fill="auto"/>
            <w:vAlign w:val="center"/>
          </w:tcPr>
          <w:p>
            <w:pPr>
              <w:jc w:val="center"/>
              <w:rPr>
                <w:sz w:val="18"/>
                <w:szCs w:val="18"/>
                <w:highlight w:val="none"/>
              </w:rPr>
            </w:pPr>
          </w:p>
        </w:tc>
        <w:tc>
          <w:tcPr>
            <w:tcW w:w="981" w:type="dxa"/>
            <w:vMerge w:val="continue"/>
            <w:shd w:val="clear" w:color="auto" w:fill="auto"/>
          </w:tcPr>
          <w:p>
            <w:pPr>
              <w:jc w:val="center"/>
              <w:rPr>
                <w:sz w:val="18"/>
                <w:szCs w:val="18"/>
                <w:highlight w:val="none"/>
              </w:rPr>
            </w:pPr>
          </w:p>
        </w:tc>
        <w:tc>
          <w:tcPr>
            <w:tcW w:w="882" w:type="dxa"/>
            <w:vMerge w:val="continue"/>
            <w:shd w:val="clear" w:color="auto" w:fill="auto"/>
          </w:tcPr>
          <w:p>
            <w:pPr>
              <w:jc w:val="center"/>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64" w:hRule="atLeast"/>
          <w:tblHeader/>
        </w:trPr>
        <w:tc>
          <w:tcPr>
            <w:tcW w:w="300"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260"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331"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2073"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2073"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881" w:type="dxa"/>
            <w:shd w:val="clear" w:color="auto" w:fill="auto"/>
            <w:vAlign w:val="center"/>
          </w:tcPr>
          <w:p>
            <w:pPr>
              <w:jc w:val="center"/>
              <w:rPr>
                <w:sz w:val="18"/>
                <w:szCs w:val="18"/>
                <w:highlight w:val="none"/>
              </w:rPr>
            </w:pPr>
            <w:r>
              <w:rPr>
                <w:rFonts w:hint="eastAsia"/>
                <w:sz w:val="18"/>
                <w:szCs w:val="18"/>
                <w:highlight w:val="none"/>
              </w:rPr>
              <w:t>1</w:t>
            </w:r>
          </w:p>
        </w:tc>
        <w:tc>
          <w:tcPr>
            <w:tcW w:w="881" w:type="dxa"/>
            <w:shd w:val="clear" w:color="auto" w:fill="auto"/>
            <w:vAlign w:val="center"/>
          </w:tcPr>
          <w:p>
            <w:pPr>
              <w:jc w:val="center"/>
              <w:rPr>
                <w:sz w:val="18"/>
                <w:szCs w:val="18"/>
                <w:highlight w:val="none"/>
              </w:rPr>
            </w:pPr>
            <w:r>
              <w:rPr>
                <w:rFonts w:hint="eastAsia"/>
                <w:sz w:val="18"/>
                <w:szCs w:val="18"/>
                <w:highlight w:val="none"/>
              </w:rPr>
              <w:t>2</w:t>
            </w:r>
          </w:p>
        </w:tc>
        <w:tc>
          <w:tcPr>
            <w:tcW w:w="881" w:type="dxa"/>
            <w:shd w:val="clear" w:color="auto" w:fill="auto"/>
            <w:vAlign w:val="center"/>
          </w:tcPr>
          <w:p>
            <w:pPr>
              <w:jc w:val="center"/>
              <w:rPr>
                <w:sz w:val="18"/>
                <w:szCs w:val="18"/>
                <w:highlight w:val="none"/>
              </w:rPr>
            </w:pPr>
            <w:r>
              <w:rPr>
                <w:rFonts w:hint="eastAsia"/>
                <w:sz w:val="18"/>
                <w:szCs w:val="18"/>
                <w:highlight w:val="none"/>
              </w:rPr>
              <w:t>3</w:t>
            </w:r>
          </w:p>
        </w:tc>
        <w:tc>
          <w:tcPr>
            <w:tcW w:w="881" w:type="dxa"/>
            <w:shd w:val="clear" w:color="auto" w:fill="auto"/>
            <w:vAlign w:val="center"/>
          </w:tcPr>
          <w:p>
            <w:pPr>
              <w:jc w:val="center"/>
              <w:rPr>
                <w:sz w:val="18"/>
                <w:szCs w:val="18"/>
                <w:highlight w:val="none"/>
              </w:rPr>
            </w:pPr>
            <w:r>
              <w:rPr>
                <w:rFonts w:hint="eastAsia"/>
                <w:sz w:val="18"/>
                <w:szCs w:val="18"/>
                <w:highlight w:val="none"/>
              </w:rPr>
              <w:t>4</w:t>
            </w:r>
          </w:p>
        </w:tc>
        <w:tc>
          <w:tcPr>
            <w:tcW w:w="881" w:type="dxa"/>
            <w:shd w:val="clear" w:color="auto" w:fill="auto"/>
            <w:vAlign w:val="center"/>
          </w:tcPr>
          <w:p>
            <w:pPr>
              <w:jc w:val="center"/>
              <w:rPr>
                <w:sz w:val="18"/>
                <w:szCs w:val="18"/>
                <w:highlight w:val="none"/>
              </w:rPr>
            </w:pPr>
            <w:r>
              <w:rPr>
                <w:rFonts w:hint="eastAsia"/>
                <w:sz w:val="18"/>
                <w:szCs w:val="18"/>
                <w:highlight w:val="none"/>
              </w:rPr>
              <w:t>5</w:t>
            </w:r>
          </w:p>
        </w:tc>
        <w:tc>
          <w:tcPr>
            <w:tcW w:w="881" w:type="dxa"/>
            <w:shd w:val="clear" w:color="auto" w:fill="auto"/>
            <w:vAlign w:val="center"/>
          </w:tcPr>
          <w:p>
            <w:pPr>
              <w:jc w:val="center"/>
              <w:rPr>
                <w:sz w:val="18"/>
                <w:szCs w:val="18"/>
                <w:highlight w:val="none"/>
              </w:rPr>
            </w:pPr>
            <w:r>
              <w:rPr>
                <w:rFonts w:hint="eastAsia"/>
                <w:sz w:val="18"/>
                <w:szCs w:val="18"/>
                <w:highlight w:val="none"/>
              </w:rPr>
              <w:t>6</w:t>
            </w:r>
          </w:p>
        </w:tc>
        <w:tc>
          <w:tcPr>
            <w:tcW w:w="881" w:type="dxa"/>
            <w:shd w:val="clear" w:color="auto" w:fill="auto"/>
            <w:vAlign w:val="center"/>
          </w:tcPr>
          <w:p>
            <w:pPr>
              <w:jc w:val="center"/>
              <w:rPr>
                <w:sz w:val="18"/>
                <w:szCs w:val="18"/>
                <w:highlight w:val="none"/>
              </w:rPr>
            </w:pPr>
            <w:r>
              <w:rPr>
                <w:rFonts w:hint="eastAsia"/>
                <w:sz w:val="18"/>
                <w:szCs w:val="18"/>
                <w:highlight w:val="none"/>
              </w:rPr>
              <w:t>7</w:t>
            </w:r>
          </w:p>
        </w:tc>
        <w:tc>
          <w:tcPr>
            <w:tcW w:w="882" w:type="dxa"/>
            <w:shd w:val="clear" w:color="auto" w:fill="auto"/>
            <w:vAlign w:val="center"/>
          </w:tcPr>
          <w:p>
            <w:pPr>
              <w:jc w:val="center"/>
              <w:rPr>
                <w:sz w:val="18"/>
                <w:szCs w:val="18"/>
                <w:highlight w:val="none"/>
              </w:rPr>
            </w:pPr>
            <w:r>
              <w:rPr>
                <w:rFonts w:hint="eastAsia"/>
                <w:sz w:val="18"/>
                <w:szCs w:val="18"/>
                <w:highlight w:val="none"/>
              </w:rPr>
              <w:t>8</w:t>
            </w:r>
          </w:p>
        </w:tc>
        <w:tc>
          <w:tcPr>
            <w:tcW w:w="783" w:type="dxa"/>
            <w:shd w:val="clear" w:color="auto" w:fill="auto"/>
            <w:vAlign w:val="center"/>
          </w:tcPr>
          <w:p>
            <w:pPr>
              <w:jc w:val="center"/>
              <w:rPr>
                <w:sz w:val="18"/>
                <w:szCs w:val="18"/>
                <w:highlight w:val="none"/>
              </w:rPr>
            </w:pPr>
            <w:r>
              <w:rPr>
                <w:rFonts w:hint="eastAsia"/>
                <w:sz w:val="18"/>
                <w:szCs w:val="18"/>
                <w:highlight w:val="none"/>
              </w:rPr>
              <w:t>9</w:t>
            </w:r>
          </w:p>
        </w:tc>
        <w:tc>
          <w:tcPr>
            <w:tcW w:w="981" w:type="dxa"/>
            <w:shd w:val="clear" w:color="auto" w:fill="auto"/>
            <w:vAlign w:val="center"/>
          </w:tcPr>
          <w:p>
            <w:pPr>
              <w:jc w:val="center"/>
              <w:rPr>
                <w:sz w:val="18"/>
                <w:szCs w:val="18"/>
                <w:highlight w:val="none"/>
              </w:rPr>
            </w:pPr>
            <w:r>
              <w:rPr>
                <w:rFonts w:hint="eastAsia"/>
                <w:sz w:val="18"/>
                <w:szCs w:val="18"/>
                <w:highlight w:val="none"/>
              </w:rPr>
              <w:t>10</w:t>
            </w:r>
          </w:p>
        </w:tc>
        <w:tc>
          <w:tcPr>
            <w:tcW w:w="882" w:type="dxa"/>
            <w:shd w:val="clear" w:color="auto" w:fill="auto"/>
            <w:vAlign w:val="center"/>
          </w:tcPr>
          <w:p>
            <w:pPr>
              <w:jc w:val="center"/>
              <w:rPr>
                <w:sz w:val="18"/>
                <w:szCs w:val="18"/>
                <w:highlight w:val="none"/>
              </w:rPr>
            </w:pPr>
            <w:r>
              <w:rPr>
                <w:rFonts w:hint="eastAsia"/>
                <w:sz w:val="18"/>
                <w:szCs w:val="18"/>
                <w:highlight w:val="none"/>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41" w:hRule="atLeast"/>
        </w:trPr>
        <w:tc>
          <w:tcPr>
            <w:tcW w:w="300" w:type="dxa"/>
            <w:shd w:val="clear" w:color="auto" w:fill="auto"/>
            <w:vAlign w:val="center"/>
          </w:tcPr>
          <w:p>
            <w:pPr>
              <w:jc w:val="center"/>
              <w:rPr>
                <w:sz w:val="18"/>
                <w:szCs w:val="18"/>
                <w:highlight w:val="none"/>
              </w:rPr>
            </w:pPr>
          </w:p>
        </w:tc>
        <w:tc>
          <w:tcPr>
            <w:tcW w:w="260" w:type="dxa"/>
            <w:shd w:val="clear" w:color="auto" w:fill="auto"/>
            <w:vAlign w:val="center"/>
          </w:tcPr>
          <w:p>
            <w:pPr>
              <w:jc w:val="center"/>
              <w:rPr>
                <w:sz w:val="18"/>
                <w:szCs w:val="18"/>
                <w:highlight w:val="none"/>
              </w:rPr>
            </w:pPr>
          </w:p>
        </w:tc>
        <w:tc>
          <w:tcPr>
            <w:tcW w:w="331" w:type="dxa"/>
            <w:shd w:val="clear" w:color="auto" w:fill="auto"/>
            <w:vAlign w:val="center"/>
          </w:tcPr>
          <w:p>
            <w:pPr>
              <w:jc w:val="center"/>
              <w:rPr>
                <w:sz w:val="18"/>
                <w:szCs w:val="18"/>
                <w:highlight w:val="none"/>
              </w:rPr>
            </w:pPr>
          </w:p>
        </w:tc>
        <w:tc>
          <w:tcPr>
            <w:tcW w:w="2073" w:type="dxa"/>
            <w:shd w:val="clear" w:color="auto" w:fill="auto"/>
            <w:vAlign w:val="center"/>
          </w:tcPr>
          <w:p>
            <w:pPr>
              <w:jc w:val="left"/>
              <w:rPr>
                <w:sz w:val="18"/>
                <w:szCs w:val="18"/>
                <w:highlight w:val="none"/>
              </w:rPr>
            </w:pPr>
          </w:p>
        </w:tc>
        <w:tc>
          <w:tcPr>
            <w:tcW w:w="2073" w:type="dxa"/>
            <w:shd w:val="clear" w:color="auto" w:fill="auto"/>
            <w:vAlign w:val="center"/>
          </w:tcPr>
          <w:p>
            <w:pPr>
              <w:jc w:val="left"/>
              <w:rPr>
                <w:sz w:val="18"/>
                <w:szCs w:val="18"/>
                <w:highlight w:val="none"/>
              </w:rPr>
            </w:pPr>
          </w:p>
        </w:tc>
        <w:tc>
          <w:tcPr>
            <w:tcW w:w="881" w:type="dxa"/>
            <w:shd w:val="clear" w:color="auto" w:fill="auto"/>
            <w:vAlign w:val="center"/>
          </w:tcPr>
          <w:p>
            <w:pPr>
              <w:ind w:right="-29" w:rightChars="-14"/>
              <w:jc w:val="right"/>
              <w:rPr>
                <w:sz w:val="18"/>
                <w:szCs w:val="18"/>
                <w:highlight w:val="none"/>
              </w:rPr>
            </w:pPr>
          </w:p>
        </w:tc>
        <w:tc>
          <w:tcPr>
            <w:tcW w:w="881" w:type="dxa"/>
            <w:shd w:val="clear" w:color="auto" w:fill="auto"/>
            <w:vAlign w:val="center"/>
          </w:tcPr>
          <w:p>
            <w:pPr>
              <w:jc w:val="right"/>
              <w:rPr>
                <w:sz w:val="18"/>
                <w:szCs w:val="18"/>
                <w:highlight w:val="none"/>
              </w:rPr>
            </w:pPr>
          </w:p>
        </w:tc>
        <w:tc>
          <w:tcPr>
            <w:tcW w:w="881" w:type="dxa"/>
            <w:shd w:val="clear" w:color="auto" w:fill="auto"/>
            <w:vAlign w:val="center"/>
          </w:tcPr>
          <w:p>
            <w:pPr>
              <w:jc w:val="right"/>
              <w:rPr>
                <w:sz w:val="18"/>
                <w:szCs w:val="18"/>
                <w:highlight w:val="none"/>
              </w:rPr>
            </w:pPr>
          </w:p>
        </w:tc>
        <w:tc>
          <w:tcPr>
            <w:tcW w:w="881" w:type="dxa"/>
            <w:shd w:val="clear" w:color="auto" w:fill="auto"/>
            <w:vAlign w:val="center"/>
          </w:tcPr>
          <w:p>
            <w:pPr>
              <w:jc w:val="right"/>
              <w:rPr>
                <w:sz w:val="18"/>
                <w:szCs w:val="18"/>
                <w:highlight w:val="none"/>
              </w:rPr>
            </w:pPr>
          </w:p>
        </w:tc>
        <w:tc>
          <w:tcPr>
            <w:tcW w:w="881" w:type="dxa"/>
            <w:shd w:val="clear" w:color="auto" w:fill="auto"/>
            <w:vAlign w:val="center"/>
          </w:tcPr>
          <w:p>
            <w:pPr>
              <w:jc w:val="right"/>
              <w:rPr>
                <w:sz w:val="18"/>
                <w:szCs w:val="18"/>
                <w:highlight w:val="none"/>
              </w:rPr>
            </w:pPr>
          </w:p>
        </w:tc>
        <w:tc>
          <w:tcPr>
            <w:tcW w:w="881" w:type="dxa"/>
            <w:shd w:val="clear" w:color="auto" w:fill="auto"/>
            <w:vAlign w:val="center"/>
          </w:tcPr>
          <w:p>
            <w:pPr>
              <w:jc w:val="right"/>
              <w:rPr>
                <w:sz w:val="18"/>
                <w:szCs w:val="18"/>
                <w:highlight w:val="none"/>
              </w:rPr>
            </w:pPr>
          </w:p>
        </w:tc>
        <w:tc>
          <w:tcPr>
            <w:tcW w:w="881" w:type="dxa"/>
            <w:shd w:val="clear" w:color="auto" w:fill="auto"/>
            <w:vAlign w:val="center"/>
          </w:tcPr>
          <w:p>
            <w:pPr>
              <w:jc w:val="right"/>
              <w:rPr>
                <w:sz w:val="18"/>
                <w:szCs w:val="18"/>
                <w:highlight w:val="none"/>
              </w:rPr>
            </w:pPr>
          </w:p>
        </w:tc>
        <w:tc>
          <w:tcPr>
            <w:tcW w:w="882" w:type="dxa"/>
            <w:shd w:val="clear" w:color="auto" w:fill="auto"/>
            <w:vAlign w:val="center"/>
          </w:tcPr>
          <w:p>
            <w:pPr>
              <w:jc w:val="right"/>
              <w:rPr>
                <w:sz w:val="18"/>
                <w:szCs w:val="18"/>
                <w:highlight w:val="none"/>
              </w:rPr>
            </w:pPr>
          </w:p>
        </w:tc>
        <w:tc>
          <w:tcPr>
            <w:tcW w:w="783" w:type="dxa"/>
            <w:shd w:val="clear" w:color="auto" w:fill="auto"/>
            <w:vAlign w:val="center"/>
          </w:tcPr>
          <w:p>
            <w:pPr>
              <w:jc w:val="right"/>
              <w:rPr>
                <w:sz w:val="18"/>
                <w:szCs w:val="18"/>
                <w:highlight w:val="none"/>
              </w:rPr>
            </w:pPr>
          </w:p>
        </w:tc>
        <w:tc>
          <w:tcPr>
            <w:tcW w:w="981" w:type="dxa"/>
            <w:shd w:val="clear" w:color="auto" w:fill="auto"/>
            <w:vAlign w:val="center"/>
          </w:tcPr>
          <w:p>
            <w:pPr>
              <w:jc w:val="right"/>
              <w:rPr>
                <w:sz w:val="18"/>
                <w:szCs w:val="18"/>
                <w:highlight w:val="none"/>
              </w:rPr>
            </w:pPr>
          </w:p>
        </w:tc>
        <w:tc>
          <w:tcPr>
            <w:tcW w:w="882"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41" w:hRule="atLeast"/>
        </w:trPr>
        <w:tc>
          <w:tcPr>
            <w:tcW w:w="300" w:type="dxa"/>
            <w:shd w:val="clear" w:color="auto" w:fill="auto"/>
            <w:vAlign w:val="center"/>
          </w:tcPr>
          <w:p>
            <w:pPr>
              <w:jc w:val="center"/>
              <w:rPr>
                <w:sz w:val="18"/>
                <w:szCs w:val="18"/>
                <w:highlight w:val="none"/>
              </w:rPr>
            </w:pPr>
          </w:p>
        </w:tc>
        <w:tc>
          <w:tcPr>
            <w:tcW w:w="260" w:type="dxa"/>
            <w:shd w:val="clear" w:color="auto" w:fill="auto"/>
            <w:vAlign w:val="center"/>
          </w:tcPr>
          <w:p>
            <w:pPr>
              <w:jc w:val="center"/>
              <w:rPr>
                <w:sz w:val="18"/>
                <w:szCs w:val="18"/>
                <w:highlight w:val="none"/>
              </w:rPr>
            </w:pPr>
          </w:p>
        </w:tc>
        <w:tc>
          <w:tcPr>
            <w:tcW w:w="331" w:type="dxa"/>
            <w:shd w:val="clear" w:color="auto" w:fill="auto"/>
            <w:vAlign w:val="center"/>
          </w:tcPr>
          <w:p>
            <w:pPr>
              <w:jc w:val="center"/>
              <w:rPr>
                <w:sz w:val="18"/>
                <w:szCs w:val="18"/>
                <w:highlight w:val="none"/>
              </w:rPr>
            </w:pPr>
          </w:p>
        </w:tc>
        <w:tc>
          <w:tcPr>
            <w:tcW w:w="2073" w:type="dxa"/>
            <w:shd w:val="clear" w:color="auto" w:fill="auto"/>
            <w:vAlign w:val="center"/>
          </w:tcPr>
          <w:p>
            <w:pPr>
              <w:jc w:val="left"/>
              <w:rPr>
                <w:sz w:val="18"/>
                <w:szCs w:val="18"/>
                <w:highlight w:val="none"/>
              </w:rPr>
            </w:pPr>
          </w:p>
        </w:tc>
        <w:tc>
          <w:tcPr>
            <w:tcW w:w="2073" w:type="dxa"/>
            <w:shd w:val="clear" w:color="auto" w:fill="auto"/>
            <w:vAlign w:val="center"/>
          </w:tcPr>
          <w:p>
            <w:pPr>
              <w:jc w:val="left"/>
              <w:rPr>
                <w:sz w:val="18"/>
                <w:szCs w:val="18"/>
                <w:highlight w:val="none"/>
              </w:rPr>
            </w:pPr>
          </w:p>
        </w:tc>
        <w:tc>
          <w:tcPr>
            <w:tcW w:w="881" w:type="dxa"/>
            <w:shd w:val="clear" w:color="auto" w:fill="auto"/>
            <w:vAlign w:val="center"/>
          </w:tcPr>
          <w:p>
            <w:pPr>
              <w:ind w:right="-29" w:rightChars="-14"/>
              <w:jc w:val="right"/>
              <w:rPr>
                <w:sz w:val="18"/>
                <w:szCs w:val="18"/>
                <w:highlight w:val="none"/>
              </w:rPr>
            </w:pPr>
          </w:p>
        </w:tc>
        <w:tc>
          <w:tcPr>
            <w:tcW w:w="881" w:type="dxa"/>
            <w:shd w:val="clear" w:color="auto" w:fill="auto"/>
            <w:vAlign w:val="center"/>
          </w:tcPr>
          <w:p>
            <w:pPr>
              <w:jc w:val="right"/>
              <w:rPr>
                <w:sz w:val="18"/>
                <w:szCs w:val="18"/>
                <w:highlight w:val="none"/>
              </w:rPr>
            </w:pPr>
          </w:p>
        </w:tc>
        <w:tc>
          <w:tcPr>
            <w:tcW w:w="881" w:type="dxa"/>
            <w:shd w:val="clear" w:color="auto" w:fill="auto"/>
            <w:vAlign w:val="center"/>
          </w:tcPr>
          <w:p>
            <w:pPr>
              <w:jc w:val="right"/>
              <w:rPr>
                <w:sz w:val="18"/>
                <w:szCs w:val="18"/>
                <w:highlight w:val="none"/>
              </w:rPr>
            </w:pPr>
          </w:p>
        </w:tc>
        <w:tc>
          <w:tcPr>
            <w:tcW w:w="881" w:type="dxa"/>
            <w:shd w:val="clear" w:color="auto" w:fill="auto"/>
            <w:vAlign w:val="center"/>
          </w:tcPr>
          <w:p>
            <w:pPr>
              <w:jc w:val="right"/>
              <w:rPr>
                <w:sz w:val="18"/>
                <w:szCs w:val="18"/>
                <w:highlight w:val="none"/>
              </w:rPr>
            </w:pPr>
          </w:p>
        </w:tc>
        <w:tc>
          <w:tcPr>
            <w:tcW w:w="881" w:type="dxa"/>
            <w:shd w:val="clear" w:color="auto" w:fill="auto"/>
            <w:vAlign w:val="center"/>
          </w:tcPr>
          <w:p>
            <w:pPr>
              <w:jc w:val="right"/>
              <w:rPr>
                <w:sz w:val="18"/>
                <w:szCs w:val="18"/>
                <w:highlight w:val="none"/>
              </w:rPr>
            </w:pPr>
          </w:p>
        </w:tc>
        <w:tc>
          <w:tcPr>
            <w:tcW w:w="881" w:type="dxa"/>
            <w:shd w:val="clear" w:color="auto" w:fill="auto"/>
            <w:vAlign w:val="center"/>
          </w:tcPr>
          <w:p>
            <w:pPr>
              <w:jc w:val="right"/>
              <w:rPr>
                <w:sz w:val="18"/>
                <w:szCs w:val="18"/>
                <w:highlight w:val="none"/>
              </w:rPr>
            </w:pPr>
          </w:p>
        </w:tc>
        <w:tc>
          <w:tcPr>
            <w:tcW w:w="881" w:type="dxa"/>
            <w:shd w:val="clear" w:color="auto" w:fill="auto"/>
            <w:vAlign w:val="center"/>
          </w:tcPr>
          <w:p>
            <w:pPr>
              <w:jc w:val="right"/>
              <w:rPr>
                <w:sz w:val="18"/>
                <w:szCs w:val="18"/>
                <w:highlight w:val="none"/>
              </w:rPr>
            </w:pPr>
          </w:p>
        </w:tc>
        <w:tc>
          <w:tcPr>
            <w:tcW w:w="882" w:type="dxa"/>
            <w:shd w:val="clear" w:color="auto" w:fill="auto"/>
            <w:vAlign w:val="center"/>
          </w:tcPr>
          <w:p>
            <w:pPr>
              <w:jc w:val="right"/>
              <w:rPr>
                <w:sz w:val="18"/>
                <w:szCs w:val="18"/>
                <w:highlight w:val="none"/>
              </w:rPr>
            </w:pPr>
          </w:p>
        </w:tc>
        <w:tc>
          <w:tcPr>
            <w:tcW w:w="783" w:type="dxa"/>
            <w:shd w:val="clear" w:color="auto" w:fill="auto"/>
            <w:vAlign w:val="center"/>
          </w:tcPr>
          <w:p>
            <w:pPr>
              <w:jc w:val="right"/>
              <w:rPr>
                <w:sz w:val="18"/>
                <w:szCs w:val="18"/>
                <w:highlight w:val="none"/>
              </w:rPr>
            </w:pPr>
          </w:p>
        </w:tc>
        <w:tc>
          <w:tcPr>
            <w:tcW w:w="981" w:type="dxa"/>
            <w:shd w:val="clear" w:color="auto" w:fill="auto"/>
            <w:vAlign w:val="center"/>
          </w:tcPr>
          <w:p>
            <w:pPr>
              <w:jc w:val="right"/>
              <w:rPr>
                <w:sz w:val="18"/>
                <w:szCs w:val="18"/>
                <w:highlight w:val="none"/>
              </w:rPr>
            </w:pPr>
          </w:p>
        </w:tc>
        <w:tc>
          <w:tcPr>
            <w:tcW w:w="882"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41" w:hRule="atLeast"/>
        </w:trPr>
        <w:tc>
          <w:tcPr>
            <w:tcW w:w="300" w:type="dxa"/>
            <w:shd w:val="clear" w:color="auto" w:fill="auto"/>
            <w:vAlign w:val="center"/>
          </w:tcPr>
          <w:p>
            <w:pPr>
              <w:jc w:val="center"/>
              <w:rPr>
                <w:sz w:val="18"/>
                <w:szCs w:val="18"/>
                <w:highlight w:val="none"/>
              </w:rPr>
            </w:pPr>
          </w:p>
        </w:tc>
        <w:tc>
          <w:tcPr>
            <w:tcW w:w="260" w:type="dxa"/>
            <w:shd w:val="clear" w:color="auto" w:fill="auto"/>
            <w:vAlign w:val="center"/>
          </w:tcPr>
          <w:p>
            <w:pPr>
              <w:jc w:val="center"/>
              <w:rPr>
                <w:sz w:val="18"/>
                <w:szCs w:val="18"/>
                <w:highlight w:val="none"/>
              </w:rPr>
            </w:pPr>
          </w:p>
        </w:tc>
        <w:tc>
          <w:tcPr>
            <w:tcW w:w="331" w:type="dxa"/>
            <w:shd w:val="clear" w:color="auto" w:fill="auto"/>
            <w:vAlign w:val="center"/>
          </w:tcPr>
          <w:p>
            <w:pPr>
              <w:jc w:val="center"/>
              <w:rPr>
                <w:sz w:val="18"/>
                <w:szCs w:val="18"/>
                <w:highlight w:val="none"/>
              </w:rPr>
            </w:pPr>
          </w:p>
        </w:tc>
        <w:tc>
          <w:tcPr>
            <w:tcW w:w="2073" w:type="dxa"/>
            <w:shd w:val="clear" w:color="auto" w:fill="auto"/>
            <w:vAlign w:val="center"/>
          </w:tcPr>
          <w:p>
            <w:pPr>
              <w:jc w:val="left"/>
              <w:rPr>
                <w:sz w:val="18"/>
                <w:szCs w:val="18"/>
                <w:highlight w:val="none"/>
              </w:rPr>
            </w:pPr>
          </w:p>
        </w:tc>
        <w:tc>
          <w:tcPr>
            <w:tcW w:w="2073" w:type="dxa"/>
            <w:shd w:val="clear" w:color="auto" w:fill="auto"/>
            <w:vAlign w:val="center"/>
          </w:tcPr>
          <w:p>
            <w:pPr>
              <w:jc w:val="left"/>
              <w:rPr>
                <w:sz w:val="18"/>
                <w:szCs w:val="18"/>
                <w:highlight w:val="none"/>
              </w:rPr>
            </w:pPr>
          </w:p>
        </w:tc>
        <w:tc>
          <w:tcPr>
            <w:tcW w:w="881" w:type="dxa"/>
            <w:shd w:val="clear" w:color="auto" w:fill="auto"/>
            <w:vAlign w:val="center"/>
          </w:tcPr>
          <w:p>
            <w:pPr>
              <w:ind w:right="-29" w:rightChars="-14"/>
              <w:jc w:val="right"/>
              <w:rPr>
                <w:sz w:val="18"/>
                <w:szCs w:val="18"/>
                <w:highlight w:val="none"/>
              </w:rPr>
            </w:pPr>
          </w:p>
        </w:tc>
        <w:tc>
          <w:tcPr>
            <w:tcW w:w="881" w:type="dxa"/>
            <w:shd w:val="clear" w:color="auto" w:fill="auto"/>
            <w:vAlign w:val="center"/>
          </w:tcPr>
          <w:p>
            <w:pPr>
              <w:jc w:val="right"/>
              <w:rPr>
                <w:sz w:val="18"/>
                <w:szCs w:val="18"/>
                <w:highlight w:val="none"/>
              </w:rPr>
            </w:pPr>
          </w:p>
        </w:tc>
        <w:tc>
          <w:tcPr>
            <w:tcW w:w="881" w:type="dxa"/>
            <w:shd w:val="clear" w:color="auto" w:fill="auto"/>
            <w:vAlign w:val="center"/>
          </w:tcPr>
          <w:p>
            <w:pPr>
              <w:jc w:val="right"/>
              <w:rPr>
                <w:sz w:val="18"/>
                <w:szCs w:val="18"/>
                <w:highlight w:val="none"/>
              </w:rPr>
            </w:pPr>
          </w:p>
        </w:tc>
        <w:tc>
          <w:tcPr>
            <w:tcW w:w="881" w:type="dxa"/>
            <w:shd w:val="clear" w:color="auto" w:fill="auto"/>
            <w:vAlign w:val="center"/>
          </w:tcPr>
          <w:p>
            <w:pPr>
              <w:jc w:val="right"/>
              <w:rPr>
                <w:sz w:val="18"/>
                <w:szCs w:val="18"/>
                <w:highlight w:val="none"/>
              </w:rPr>
            </w:pPr>
          </w:p>
        </w:tc>
        <w:tc>
          <w:tcPr>
            <w:tcW w:w="881" w:type="dxa"/>
            <w:shd w:val="clear" w:color="auto" w:fill="auto"/>
            <w:vAlign w:val="center"/>
          </w:tcPr>
          <w:p>
            <w:pPr>
              <w:jc w:val="right"/>
              <w:rPr>
                <w:sz w:val="18"/>
                <w:szCs w:val="18"/>
                <w:highlight w:val="none"/>
              </w:rPr>
            </w:pPr>
          </w:p>
        </w:tc>
        <w:tc>
          <w:tcPr>
            <w:tcW w:w="881" w:type="dxa"/>
            <w:shd w:val="clear" w:color="auto" w:fill="auto"/>
            <w:vAlign w:val="center"/>
          </w:tcPr>
          <w:p>
            <w:pPr>
              <w:jc w:val="right"/>
              <w:rPr>
                <w:sz w:val="18"/>
                <w:szCs w:val="18"/>
                <w:highlight w:val="none"/>
              </w:rPr>
            </w:pPr>
          </w:p>
        </w:tc>
        <w:tc>
          <w:tcPr>
            <w:tcW w:w="881" w:type="dxa"/>
            <w:shd w:val="clear" w:color="auto" w:fill="auto"/>
            <w:vAlign w:val="center"/>
          </w:tcPr>
          <w:p>
            <w:pPr>
              <w:jc w:val="right"/>
              <w:rPr>
                <w:sz w:val="18"/>
                <w:szCs w:val="18"/>
                <w:highlight w:val="none"/>
              </w:rPr>
            </w:pPr>
          </w:p>
        </w:tc>
        <w:tc>
          <w:tcPr>
            <w:tcW w:w="882" w:type="dxa"/>
            <w:shd w:val="clear" w:color="auto" w:fill="auto"/>
            <w:vAlign w:val="center"/>
          </w:tcPr>
          <w:p>
            <w:pPr>
              <w:jc w:val="right"/>
              <w:rPr>
                <w:sz w:val="18"/>
                <w:szCs w:val="18"/>
                <w:highlight w:val="none"/>
              </w:rPr>
            </w:pPr>
          </w:p>
        </w:tc>
        <w:tc>
          <w:tcPr>
            <w:tcW w:w="783" w:type="dxa"/>
            <w:shd w:val="clear" w:color="auto" w:fill="auto"/>
            <w:vAlign w:val="center"/>
          </w:tcPr>
          <w:p>
            <w:pPr>
              <w:jc w:val="right"/>
              <w:rPr>
                <w:sz w:val="18"/>
                <w:szCs w:val="18"/>
                <w:highlight w:val="none"/>
              </w:rPr>
            </w:pPr>
          </w:p>
        </w:tc>
        <w:tc>
          <w:tcPr>
            <w:tcW w:w="981" w:type="dxa"/>
            <w:shd w:val="clear" w:color="auto" w:fill="auto"/>
            <w:vAlign w:val="center"/>
          </w:tcPr>
          <w:p>
            <w:pPr>
              <w:jc w:val="right"/>
              <w:rPr>
                <w:sz w:val="18"/>
                <w:szCs w:val="18"/>
                <w:highlight w:val="none"/>
              </w:rPr>
            </w:pPr>
          </w:p>
        </w:tc>
        <w:tc>
          <w:tcPr>
            <w:tcW w:w="882"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41" w:hRule="atLeast"/>
        </w:trPr>
        <w:tc>
          <w:tcPr>
            <w:tcW w:w="300" w:type="dxa"/>
            <w:shd w:val="clear" w:color="auto" w:fill="auto"/>
            <w:vAlign w:val="center"/>
          </w:tcPr>
          <w:p>
            <w:pPr>
              <w:jc w:val="center"/>
              <w:rPr>
                <w:sz w:val="18"/>
                <w:szCs w:val="18"/>
                <w:highlight w:val="none"/>
              </w:rPr>
            </w:pPr>
          </w:p>
        </w:tc>
        <w:tc>
          <w:tcPr>
            <w:tcW w:w="260" w:type="dxa"/>
            <w:shd w:val="clear" w:color="auto" w:fill="auto"/>
            <w:vAlign w:val="center"/>
          </w:tcPr>
          <w:p>
            <w:pPr>
              <w:jc w:val="center"/>
              <w:rPr>
                <w:sz w:val="18"/>
                <w:szCs w:val="18"/>
                <w:highlight w:val="none"/>
              </w:rPr>
            </w:pPr>
          </w:p>
        </w:tc>
        <w:tc>
          <w:tcPr>
            <w:tcW w:w="331" w:type="dxa"/>
            <w:shd w:val="clear" w:color="auto" w:fill="auto"/>
            <w:vAlign w:val="center"/>
          </w:tcPr>
          <w:p>
            <w:pPr>
              <w:jc w:val="center"/>
              <w:rPr>
                <w:sz w:val="18"/>
                <w:szCs w:val="18"/>
                <w:highlight w:val="none"/>
              </w:rPr>
            </w:pPr>
          </w:p>
        </w:tc>
        <w:tc>
          <w:tcPr>
            <w:tcW w:w="2073" w:type="dxa"/>
            <w:shd w:val="clear" w:color="auto" w:fill="auto"/>
            <w:vAlign w:val="center"/>
          </w:tcPr>
          <w:p>
            <w:pPr>
              <w:jc w:val="left"/>
              <w:rPr>
                <w:sz w:val="18"/>
                <w:szCs w:val="18"/>
                <w:highlight w:val="none"/>
              </w:rPr>
            </w:pPr>
          </w:p>
        </w:tc>
        <w:tc>
          <w:tcPr>
            <w:tcW w:w="2073" w:type="dxa"/>
            <w:shd w:val="clear" w:color="auto" w:fill="auto"/>
            <w:vAlign w:val="center"/>
          </w:tcPr>
          <w:p>
            <w:pPr>
              <w:jc w:val="left"/>
              <w:rPr>
                <w:sz w:val="18"/>
                <w:szCs w:val="18"/>
                <w:highlight w:val="none"/>
              </w:rPr>
            </w:pPr>
          </w:p>
        </w:tc>
        <w:tc>
          <w:tcPr>
            <w:tcW w:w="881" w:type="dxa"/>
            <w:shd w:val="clear" w:color="auto" w:fill="auto"/>
            <w:vAlign w:val="center"/>
          </w:tcPr>
          <w:p>
            <w:pPr>
              <w:ind w:right="-29" w:rightChars="-14"/>
              <w:jc w:val="right"/>
              <w:rPr>
                <w:sz w:val="18"/>
                <w:szCs w:val="18"/>
                <w:highlight w:val="none"/>
              </w:rPr>
            </w:pPr>
          </w:p>
        </w:tc>
        <w:tc>
          <w:tcPr>
            <w:tcW w:w="881" w:type="dxa"/>
            <w:shd w:val="clear" w:color="auto" w:fill="auto"/>
            <w:vAlign w:val="center"/>
          </w:tcPr>
          <w:p>
            <w:pPr>
              <w:jc w:val="right"/>
              <w:rPr>
                <w:sz w:val="18"/>
                <w:szCs w:val="18"/>
                <w:highlight w:val="none"/>
              </w:rPr>
            </w:pPr>
          </w:p>
        </w:tc>
        <w:tc>
          <w:tcPr>
            <w:tcW w:w="881" w:type="dxa"/>
            <w:shd w:val="clear" w:color="auto" w:fill="auto"/>
            <w:vAlign w:val="center"/>
          </w:tcPr>
          <w:p>
            <w:pPr>
              <w:jc w:val="right"/>
              <w:rPr>
                <w:sz w:val="18"/>
                <w:szCs w:val="18"/>
                <w:highlight w:val="none"/>
              </w:rPr>
            </w:pPr>
          </w:p>
        </w:tc>
        <w:tc>
          <w:tcPr>
            <w:tcW w:w="881" w:type="dxa"/>
            <w:shd w:val="clear" w:color="auto" w:fill="auto"/>
            <w:vAlign w:val="center"/>
          </w:tcPr>
          <w:p>
            <w:pPr>
              <w:jc w:val="right"/>
              <w:rPr>
                <w:sz w:val="18"/>
                <w:szCs w:val="18"/>
                <w:highlight w:val="none"/>
              </w:rPr>
            </w:pPr>
          </w:p>
        </w:tc>
        <w:tc>
          <w:tcPr>
            <w:tcW w:w="881" w:type="dxa"/>
            <w:shd w:val="clear" w:color="auto" w:fill="auto"/>
            <w:vAlign w:val="center"/>
          </w:tcPr>
          <w:p>
            <w:pPr>
              <w:jc w:val="right"/>
              <w:rPr>
                <w:sz w:val="18"/>
                <w:szCs w:val="18"/>
                <w:highlight w:val="none"/>
              </w:rPr>
            </w:pPr>
          </w:p>
        </w:tc>
        <w:tc>
          <w:tcPr>
            <w:tcW w:w="881" w:type="dxa"/>
            <w:shd w:val="clear" w:color="auto" w:fill="auto"/>
            <w:vAlign w:val="center"/>
          </w:tcPr>
          <w:p>
            <w:pPr>
              <w:jc w:val="right"/>
              <w:rPr>
                <w:sz w:val="18"/>
                <w:szCs w:val="18"/>
                <w:highlight w:val="none"/>
              </w:rPr>
            </w:pPr>
          </w:p>
        </w:tc>
        <w:tc>
          <w:tcPr>
            <w:tcW w:w="881" w:type="dxa"/>
            <w:shd w:val="clear" w:color="auto" w:fill="auto"/>
            <w:vAlign w:val="center"/>
          </w:tcPr>
          <w:p>
            <w:pPr>
              <w:jc w:val="right"/>
              <w:rPr>
                <w:sz w:val="18"/>
                <w:szCs w:val="18"/>
                <w:highlight w:val="none"/>
              </w:rPr>
            </w:pPr>
          </w:p>
        </w:tc>
        <w:tc>
          <w:tcPr>
            <w:tcW w:w="882" w:type="dxa"/>
            <w:shd w:val="clear" w:color="auto" w:fill="auto"/>
            <w:vAlign w:val="center"/>
          </w:tcPr>
          <w:p>
            <w:pPr>
              <w:jc w:val="right"/>
              <w:rPr>
                <w:sz w:val="18"/>
                <w:szCs w:val="18"/>
                <w:highlight w:val="none"/>
              </w:rPr>
            </w:pPr>
          </w:p>
        </w:tc>
        <w:tc>
          <w:tcPr>
            <w:tcW w:w="783" w:type="dxa"/>
            <w:shd w:val="clear" w:color="auto" w:fill="auto"/>
            <w:vAlign w:val="center"/>
          </w:tcPr>
          <w:p>
            <w:pPr>
              <w:jc w:val="right"/>
              <w:rPr>
                <w:sz w:val="18"/>
                <w:szCs w:val="18"/>
                <w:highlight w:val="none"/>
              </w:rPr>
            </w:pPr>
          </w:p>
        </w:tc>
        <w:tc>
          <w:tcPr>
            <w:tcW w:w="981" w:type="dxa"/>
            <w:shd w:val="clear" w:color="auto" w:fill="auto"/>
            <w:vAlign w:val="center"/>
          </w:tcPr>
          <w:p>
            <w:pPr>
              <w:jc w:val="right"/>
              <w:rPr>
                <w:sz w:val="18"/>
                <w:szCs w:val="18"/>
                <w:highlight w:val="none"/>
              </w:rPr>
            </w:pPr>
          </w:p>
        </w:tc>
        <w:tc>
          <w:tcPr>
            <w:tcW w:w="882"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41" w:hRule="atLeast"/>
        </w:trPr>
        <w:tc>
          <w:tcPr>
            <w:tcW w:w="300" w:type="dxa"/>
            <w:shd w:val="clear" w:color="auto" w:fill="auto"/>
            <w:vAlign w:val="center"/>
          </w:tcPr>
          <w:p>
            <w:pPr>
              <w:jc w:val="center"/>
              <w:rPr>
                <w:sz w:val="18"/>
                <w:szCs w:val="18"/>
                <w:highlight w:val="none"/>
              </w:rPr>
            </w:pPr>
          </w:p>
        </w:tc>
        <w:tc>
          <w:tcPr>
            <w:tcW w:w="260" w:type="dxa"/>
            <w:shd w:val="clear" w:color="auto" w:fill="auto"/>
            <w:vAlign w:val="center"/>
          </w:tcPr>
          <w:p>
            <w:pPr>
              <w:jc w:val="center"/>
              <w:rPr>
                <w:sz w:val="18"/>
                <w:szCs w:val="18"/>
                <w:highlight w:val="none"/>
              </w:rPr>
            </w:pPr>
          </w:p>
        </w:tc>
        <w:tc>
          <w:tcPr>
            <w:tcW w:w="331" w:type="dxa"/>
            <w:shd w:val="clear" w:color="auto" w:fill="auto"/>
            <w:vAlign w:val="center"/>
          </w:tcPr>
          <w:p>
            <w:pPr>
              <w:jc w:val="center"/>
              <w:rPr>
                <w:sz w:val="18"/>
                <w:szCs w:val="18"/>
                <w:highlight w:val="none"/>
              </w:rPr>
            </w:pPr>
          </w:p>
        </w:tc>
        <w:tc>
          <w:tcPr>
            <w:tcW w:w="2073" w:type="dxa"/>
            <w:shd w:val="clear" w:color="auto" w:fill="auto"/>
            <w:vAlign w:val="center"/>
          </w:tcPr>
          <w:p>
            <w:pPr>
              <w:jc w:val="left"/>
              <w:rPr>
                <w:sz w:val="18"/>
                <w:szCs w:val="18"/>
                <w:highlight w:val="none"/>
              </w:rPr>
            </w:pPr>
          </w:p>
        </w:tc>
        <w:tc>
          <w:tcPr>
            <w:tcW w:w="2073" w:type="dxa"/>
            <w:shd w:val="clear" w:color="auto" w:fill="auto"/>
            <w:vAlign w:val="center"/>
          </w:tcPr>
          <w:p>
            <w:pPr>
              <w:jc w:val="left"/>
              <w:rPr>
                <w:sz w:val="18"/>
                <w:szCs w:val="18"/>
                <w:highlight w:val="none"/>
              </w:rPr>
            </w:pPr>
          </w:p>
        </w:tc>
        <w:tc>
          <w:tcPr>
            <w:tcW w:w="881" w:type="dxa"/>
            <w:shd w:val="clear" w:color="auto" w:fill="auto"/>
            <w:vAlign w:val="center"/>
          </w:tcPr>
          <w:p>
            <w:pPr>
              <w:ind w:right="-29" w:rightChars="-14"/>
              <w:jc w:val="right"/>
              <w:rPr>
                <w:sz w:val="18"/>
                <w:szCs w:val="18"/>
                <w:highlight w:val="none"/>
              </w:rPr>
            </w:pPr>
          </w:p>
        </w:tc>
        <w:tc>
          <w:tcPr>
            <w:tcW w:w="881" w:type="dxa"/>
            <w:shd w:val="clear" w:color="auto" w:fill="auto"/>
            <w:vAlign w:val="center"/>
          </w:tcPr>
          <w:p>
            <w:pPr>
              <w:jc w:val="right"/>
              <w:rPr>
                <w:sz w:val="18"/>
                <w:szCs w:val="18"/>
                <w:highlight w:val="none"/>
              </w:rPr>
            </w:pPr>
          </w:p>
        </w:tc>
        <w:tc>
          <w:tcPr>
            <w:tcW w:w="881" w:type="dxa"/>
            <w:shd w:val="clear" w:color="auto" w:fill="auto"/>
            <w:vAlign w:val="center"/>
          </w:tcPr>
          <w:p>
            <w:pPr>
              <w:jc w:val="right"/>
              <w:rPr>
                <w:sz w:val="18"/>
                <w:szCs w:val="18"/>
                <w:highlight w:val="none"/>
              </w:rPr>
            </w:pPr>
          </w:p>
        </w:tc>
        <w:tc>
          <w:tcPr>
            <w:tcW w:w="881" w:type="dxa"/>
            <w:shd w:val="clear" w:color="auto" w:fill="auto"/>
            <w:vAlign w:val="center"/>
          </w:tcPr>
          <w:p>
            <w:pPr>
              <w:jc w:val="right"/>
              <w:rPr>
                <w:sz w:val="18"/>
                <w:szCs w:val="18"/>
                <w:highlight w:val="none"/>
              </w:rPr>
            </w:pPr>
          </w:p>
        </w:tc>
        <w:tc>
          <w:tcPr>
            <w:tcW w:w="881" w:type="dxa"/>
            <w:shd w:val="clear" w:color="auto" w:fill="auto"/>
            <w:vAlign w:val="center"/>
          </w:tcPr>
          <w:p>
            <w:pPr>
              <w:jc w:val="right"/>
              <w:rPr>
                <w:sz w:val="18"/>
                <w:szCs w:val="18"/>
                <w:highlight w:val="none"/>
              </w:rPr>
            </w:pPr>
          </w:p>
        </w:tc>
        <w:tc>
          <w:tcPr>
            <w:tcW w:w="881" w:type="dxa"/>
            <w:shd w:val="clear" w:color="auto" w:fill="auto"/>
            <w:vAlign w:val="center"/>
          </w:tcPr>
          <w:p>
            <w:pPr>
              <w:jc w:val="right"/>
              <w:rPr>
                <w:sz w:val="18"/>
                <w:szCs w:val="18"/>
                <w:highlight w:val="none"/>
              </w:rPr>
            </w:pPr>
          </w:p>
        </w:tc>
        <w:tc>
          <w:tcPr>
            <w:tcW w:w="881" w:type="dxa"/>
            <w:shd w:val="clear" w:color="auto" w:fill="auto"/>
            <w:vAlign w:val="center"/>
          </w:tcPr>
          <w:p>
            <w:pPr>
              <w:jc w:val="right"/>
              <w:rPr>
                <w:sz w:val="18"/>
                <w:szCs w:val="18"/>
                <w:highlight w:val="none"/>
              </w:rPr>
            </w:pPr>
          </w:p>
        </w:tc>
        <w:tc>
          <w:tcPr>
            <w:tcW w:w="882" w:type="dxa"/>
            <w:shd w:val="clear" w:color="auto" w:fill="auto"/>
            <w:vAlign w:val="center"/>
          </w:tcPr>
          <w:p>
            <w:pPr>
              <w:jc w:val="right"/>
              <w:rPr>
                <w:sz w:val="18"/>
                <w:szCs w:val="18"/>
                <w:highlight w:val="none"/>
              </w:rPr>
            </w:pPr>
          </w:p>
        </w:tc>
        <w:tc>
          <w:tcPr>
            <w:tcW w:w="783" w:type="dxa"/>
            <w:shd w:val="clear" w:color="auto" w:fill="auto"/>
            <w:vAlign w:val="center"/>
          </w:tcPr>
          <w:p>
            <w:pPr>
              <w:jc w:val="right"/>
              <w:rPr>
                <w:sz w:val="18"/>
                <w:szCs w:val="18"/>
                <w:highlight w:val="none"/>
              </w:rPr>
            </w:pPr>
          </w:p>
        </w:tc>
        <w:tc>
          <w:tcPr>
            <w:tcW w:w="981" w:type="dxa"/>
            <w:shd w:val="clear" w:color="auto" w:fill="auto"/>
            <w:vAlign w:val="center"/>
          </w:tcPr>
          <w:p>
            <w:pPr>
              <w:jc w:val="right"/>
              <w:rPr>
                <w:sz w:val="18"/>
                <w:szCs w:val="18"/>
                <w:highlight w:val="none"/>
              </w:rPr>
            </w:pPr>
          </w:p>
        </w:tc>
        <w:tc>
          <w:tcPr>
            <w:tcW w:w="882" w:type="dxa"/>
            <w:shd w:val="clear" w:color="auto" w:fill="auto"/>
            <w:vAlign w:val="center"/>
          </w:tcPr>
          <w:p>
            <w:pPr>
              <w:jc w:val="right"/>
              <w:rPr>
                <w:sz w:val="18"/>
                <w:szCs w:val="18"/>
                <w:highlight w:val="none"/>
              </w:rPr>
            </w:pPr>
          </w:p>
        </w:tc>
      </w:tr>
    </w:tbl>
    <w:p>
      <w:pPr>
        <w:widowControl/>
        <w:jc w:val="left"/>
        <w:rPr>
          <w:rFonts w:hint="default" w:ascii="仿宋" w:eastAsia="仿宋"/>
          <w:b/>
          <w:color w:val="000000"/>
          <w:szCs w:val="21"/>
          <w:highlight w:val="none"/>
        </w:rPr>
      </w:pPr>
      <w:r>
        <w:rPr>
          <w:rFonts w:hint="eastAsia" w:ascii="仿宋" w:eastAsia="仿宋"/>
          <w:b/>
          <w:color w:val="000000"/>
          <w:szCs w:val="21"/>
          <w:highlight w:val="none"/>
        </w:rPr>
        <w:t>皮山县木奎拉乡卫生院2025年没有使用一般公共预算安排项目支出，一般公共预算项目支出情况表为空表。</w:t>
      </w:r>
    </w:p>
    <w:p>
      <w:pPr>
        <w:widowControl/>
        <w:jc w:val="left"/>
        <w:rPr>
          <w:rFonts w:hint="default" w:ascii="仿宋" w:eastAsia="仿宋"/>
          <w:b/>
          <w:color w:val="000000"/>
          <w:szCs w:val="21"/>
          <w:highlight w:val="none"/>
        </w:rPr>
        <w:sectPr>
          <w:pgSz w:w="16838" w:h="11906" w:orient="landscape"/>
          <w:pgMar w:top="1134" w:right="1134" w:bottom="1134" w:left="1134" w:header="851" w:footer="992" w:gutter="0"/>
          <w:cols w:space="425" w:num="1"/>
          <w:docGrid w:type="lines" w:linePitch="312" w:charSpace="0"/>
        </w:sectPr>
      </w:pPr>
    </w:p>
    <w:p>
      <w:pPr>
        <w:rPr>
          <w:highlight w:val="none"/>
        </w:rPr>
      </w:pPr>
      <w:r>
        <w:rPr>
          <w:rFonts w:hint="eastAsia" w:ascii="宋体" w:hAnsi="宋体"/>
          <w:color w:val="000000"/>
          <w:sz w:val="18"/>
          <w:szCs w:val="18"/>
          <w:highlight w:val="none"/>
        </w:rPr>
        <w:t>表8</w:t>
      </w:r>
    </w:p>
    <w:p>
      <w:pPr>
        <w:jc w:val="center"/>
        <w:rPr>
          <w:rFonts w:hint="default" w:ascii="仿宋" w:hAnsi="宋体" w:eastAsia="仿宋"/>
          <w:b/>
          <w:color w:val="000000"/>
          <w:sz w:val="28"/>
          <w:szCs w:val="28"/>
          <w:highlight w:val="none"/>
        </w:rPr>
      </w:pPr>
      <w:r>
        <w:rPr>
          <w:rFonts w:hint="eastAsia" w:ascii="仿宋" w:hAnsi="宋体" w:eastAsia="仿宋"/>
          <w:b/>
          <w:color w:val="000000"/>
          <w:sz w:val="28"/>
          <w:szCs w:val="28"/>
          <w:highlight w:val="none"/>
        </w:rPr>
        <w:t>政府性基金预算支出情况表</w:t>
      </w:r>
    </w:p>
    <w:tbl>
      <w:tblPr>
        <w:tblStyle w:val="7"/>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534"/>
        <w:gridCol w:w="567"/>
        <w:gridCol w:w="567"/>
        <w:gridCol w:w="2551"/>
        <w:gridCol w:w="1418"/>
        <w:gridCol w:w="1417"/>
        <w:gridCol w:w="917"/>
        <w:gridCol w:w="501"/>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00" w:hRule="atLeast"/>
          <w:tblHeader/>
        </w:trPr>
        <w:tc>
          <w:tcPr>
            <w:tcW w:w="7971" w:type="dxa"/>
            <w:gridSpan w:val="7"/>
            <w:tcBorders>
              <w:top w:val="nil"/>
              <w:left w:val="nil"/>
              <w:right w:val="nil"/>
            </w:tcBorders>
            <w:shd w:val="clear" w:color="auto" w:fill="auto"/>
            <w:vAlign w:val="center"/>
          </w:tcPr>
          <w:p>
            <w:pPr>
              <w:jc w:val="left"/>
              <w:rPr>
                <w:sz w:val="18"/>
                <w:szCs w:val="18"/>
                <w:highlight w:val="none"/>
              </w:rPr>
            </w:pPr>
            <w:r>
              <w:rPr>
                <w:rFonts w:hint="eastAsia"/>
                <w:color w:val="000000"/>
                <w:sz w:val="18"/>
                <w:szCs w:val="18"/>
                <w:highlight w:val="none"/>
              </w:rPr>
              <w:t>编制部门：皮山县木奎拉乡卫生院</w:t>
            </w:r>
          </w:p>
        </w:tc>
        <w:tc>
          <w:tcPr>
            <w:tcW w:w="1918" w:type="dxa"/>
            <w:gridSpan w:val="2"/>
            <w:tcBorders>
              <w:top w:val="nil"/>
              <w:left w:val="nil"/>
              <w:right w:val="nil"/>
            </w:tcBorders>
            <w:shd w:val="clear" w:color="auto" w:fill="auto"/>
            <w:vAlign w:val="center"/>
          </w:tcPr>
          <w:p>
            <w:pPr>
              <w:jc w:val="right"/>
              <w:rPr>
                <w:sz w:val="18"/>
                <w:szCs w:val="18"/>
                <w:highlight w:val="none"/>
              </w:rPr>
            </w:pPr>
            <w:r>
              <w:rPr>
                <w:rFonts w:hint="eastAsia"/>
                <w:color w:val="000000"/>
                <w:sz w:val="18"/>
                <w:szCs w:val="18"/>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00" w:hRule="atLeast"/>
          <w:tblHeader/>
        </w:trPr>
        <w:tc>
          <w:tcPr>
            <w:tcW w:w="4219" w:type="dxa"/>
            <w:gridSpan w:val="4"/>
            <w:shd w:val="clear" w:color="auto" w:fill="auto"/>
            <w:vAlign w:val="center"/>
          </w:tcPr>
          <w:p>
            <w:pPr>
              <w:jc w:val="center"/>
              <w:rPr>
                <w:sz w:val="18"/>
                <w:szCs w:val="18"/>
                <w:highlight w:val="none"/>
              </w:rPr>
            </w:pPr>
            <w:r>
              <w:rPr>
                <w:rFonts w:hint="eastAsia"/>
                <w:sz w:val="18"/>
                <w:szCs w:val="18"/>
                <w:highlight w:val="none"/>
              </w:rPr>
              <w:t>科目</w:t>
            </w:r>
          </w:p>
        </w:tc>
        <w:tc>
          <w:tcPr>
            <w:tcW w:w="5670" w:type="dxa"/>
            <w:gridSpan w:val="5"/>
            <w:shd w:val="clear" w:color="auto" w:fill="auto"/>
            <w:vAlign w:val="center"/>
          </w:tcPr>
          <w:p>
            <w:pPr>
              <w:jc w:val="center"/>
              <w:rPr>
                <w:sz w:val="18"/>
                <w:szCs w:val="18"/>
                <w:highlight w:val="none"/>
              </w:rPr>
            </w:pPr>
            <w:r>
              <w:rPr>
                <w:rFonts w:hint="eastAsia"/>
                <w:sz w:val="18"/>
                <w:szCs w:val="18"/>
                <w:highlight w:val="none"/>
              </w:rPr>
              <w:t>政府性基金预算支出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0" w:hRule="atLeast"/>
          <w:tblHeader/>
        </w:trPr>
        <w:tc>
          <w:tcPr>
            <w:tcW w:w="1668" w:type="dxa"/>
            <w:gridSpan w:val="3"/>
            <w:shd w:val="clear" w:color="auto" w:fill="auto"/>
            <w:vAlign w:val="center"/>
          </w:tcPr>
          <w:p>
            <w:pPr>
              <w:jc w:val="center"/>
              <w:rPr>
                <w:sz w:val="18"/>
                <w:szCs w:val="18"/>
                <w:highlight w:val="none"/>
              </w:rPr>
            </w:pPr>
            <w:r>
              <w:rPr>
                <w:rFonts w:hint="eastAsia"/>
                <w:sz w:val="18"/>
                <w:szCs w:val="18"/>
                <w:highlight w:val="none"/>
              </w:rPr>
              <w:t>功能分类科目编码</w:t>
            </w:r>
          </w:p>
        </w:tc>
        <w:tc>
          <w:tcPr>
            <w:tcW w:w="2551" w:type="dxa"/>
            <w:vMerge w:val="restart"/>
            <w:shd w:val="clear" w:color="auto" w:fill="auto"/>
            <w:vAlign w:val="center"/>
          </w:tcPr>
          <w:p>
            <w:pPr>
              <w:jc w:val="center"/>
              <w:rPr>
                <w:sz w:val="18"/>
                <w:szCs w:val="18"/>
                <w:highlight w:val="none"/>
              </w:rPr>
            </w:pPr>
            <w:r>
              <w:rPr>
                <w:rFonts w:hint="eastAsia"/>
                <w:sz w:val="18"/>
                <w:szCs w:val="18"/>
                <w:highlight w:val="none"/>
              </w:rPr>
              <w:t>功能分类科目名称</w:t>
            </w:r>
          </w:p>
        </w:tc>
        <w:tc>
          <w:tcPr>
            <w:tcW w:w="1418" w:type="dxa"/>
            <w:vMerge w:val="restart"/>
            <w:shd w:val="clear" w:color="auto" w:fill="auto"/>
            <w:vAlign w:val="center"/>
          </w:tcPr>
          <w:p>
            <w:pPr>
              <w:jc w:val="center"/>
              <w:rPr>
                <w:sz w:val="18"/>
                <w:szCs w:val="18"/>
                <w:highlight w:val="none"/>
              </w:rPr>
            </w:pPr>
            <w:r>
              <w:rPr>
                <w:rFonts w:hint="eastAsia"/>
                <w:sz w:val="18"/>
                <w:szCs w:val="18"/>
                <w:highlight w:val="none"/>
              </w:rPr>
              <w:t>合计</w:t>
            </w:r>
          </w:p>
        </w:tc>
        <w:tc>
          <w:tcPr>
            <w:tcW w:w="2835" w:type="dxa"/>
            <w:gridSpan w:val="3"/>
            <w:shd w:val="clear" w:color="auto" w:fill="auto"/>
            <w:vAlign w:val="center"/>
          </w:tcPr>
          <w:p>
            <w:pPr>
              <w:jc w:val="center"/>
              <w:rPr>
                <w:sz w:val="18"/>
                <w:szCs w:val="18"/>
                <w:highlight w:val="none"/>
              </w:rPr>
            </w:pPr>
            <w:r>
              <w:rPr>
                <w:rFonts w:hint="eastAsia"/>
                <w:sz w:val="18"/>
                <w:szCs w:val="18"/>
                <w:highlight w:val="none"/>
              </w:rPr>
              <w:t>基本支出</w:t>
            </w:r>
          </w:p>
        </w:tc>
        <w:tc>
          <w:tcPr>
            <w:tcW w:w="1417" w:type="dxa"/>
            <w:vMerge w:val="restart"/>
            <w:shd w:val="clear" w:color="auto" w:fill="auto"/>
            <w:vAlign w:val="center"/>
          </w:tcPr>
          <w:p>
            <w:pPr>
              <w:jc w:val="center"/>
              <w:rPr>
                <w:sz w:val="18"/>
                <w:szCs w:val="18"/>
                <w:highlight w:val="none"/>
              </w:rPr>
            </w:pPr>
            <w:r>
              <w:rPr>
                <w:rFonts w:hint="eastAsia"/>
                <w:sz w:val="18"/>
                <w:szCs w:val="18"/>
                <w:highlight w:val="none"/>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10" w:hRule="atLeast"/>
          <w:tblHeader/>
        </w:trPr>
        <w:tc>
          <w:tcPr>
            <w:tcW w:w="534" w:type="dxa"/>
            <w:shd w:val="clear" w:color="auto" w:fill="auto"/>
            <w:vAlign w:val="center"/>
          </w:tcPr>
          <w:p>
            <w:pPr>
              <w:jc w:val="center"/>
              <w:rPr>
                <w:sz w:val="18"/>
                <w:szCs w:val="18"/>
                <w:highlight w:val="none"/>
              </w:rPr>
            </w:pPr>
            <w:r>
              <w:rPr>
                <w:rFonts w:hint="eastAsia"/>
                <w:sz w:val="18"/>
                <w:szCs w:val="18"/>
                <w:highlight w:val="none"/>
              </w:rPr>
              <w:t>类</w:t>
            </w:r>
          </w:p>
        </w:tc>
        <w:tc>
          <w:tcPr>
            <w:tcW w:w="567" w:type="dxa"/>
            <w:shd w:val="clear" w:color="auto" w:fill="auto"/>
            <w:vAlign w:val="center"/>
          </w:tcPr>
          <w:p>
            <w:pPr>
              <w:jc w:val="center"/>
              <w:rPr>
                <w:sz w:val="18"/>
                <w:szCs w:val="18"/>
                <w:highlight w:val="none"/>
              </w:rPr>
            </w:pPr>
            <w:r>
              <w:rPr>
                <w:rFonts w:hint="eastAsia"/>
                <w:sz w:val="18"/>
                <w:szCs w:val="18"/>
                <w:highlight w:val="none"/>
              </w:rPr>
              <w:t>款</w:t>
            </w:r>
          </w:p>
        </w:tc>
        <w:tc>
          <w:tcPr>
            <w:tcW w:w="567" w:type="dxa"/>
            <w:shd w:val="clear" w:color="auto" w:fill="auto"/>
            <w:vAlign w:val="center"/>
          </w:tcPr>
          <w:p>
            <w:pPr>
              <w:jc w:val="center"/>
              <w:rPr>
                <w:sz w:val="18"/>
                <w:szCs w:val="18"/>
                <w:highlight w:val="none"/>
              </w:rPr>
            </w:pPr>
            <w:r>
              <w:rPr>
                <w:rFonts w:hint="eastAsia"/>
                <w:sz w:val="18"/>
                <w:szCs w:val="18"/>
                <w:highlight w:val="none"/>
              </w:rPr>
              <w:t>项</w:t>
            </w:r>
          </w:p>
        </w:tc>
        <w:tc>
          <w:tcPr>
            <w:tcW w:w="2551" w:type="dxa"/>
            <w:vMerge w:val="continue"/>
            <w:shd w:val="clear" w:color="auto" w:fill="auto"/>
            <w:vAlign w:val="center"/>
          </w:tcPr>
          <w:p>
            <w:pPr>
              <w:jc w:val="center"/>
              <w:rPr>
                <w:sz w:val="18"/>
                <w:szCs w:val="18"/>
                <w:highlight w:val="none"/>
              </w:rPr>
            </w:pPr>
          </w:p>
        </w:tc>
        <w:tc>
          <w:tcPr>
            <w:tcW w:w="1418" w:type="dxa"/>
            <w:vMerge w:val="continue"/>
            <w:shd w:val="clear" w:color="auto" w:fill="auto"/>
            <w:vAlign w:val="center"/>
          </w:tcPr>
          <w:p>
            <w:pPr>
              <w:jc w:val="center"/>
              <w:rPr>
                <w:sz w:val="18"/>
                <w:szCs w:val="18"/>
                <w:highlight w:val="none"/>
              </w:rPr>
            </w:pPr>
          </w:p>
        </w:tc>
        <w:tc>
          <w:tcPr>
            <w:tcW w:w="1417" w:type="dxa"/>
            <w:shd w:val="clear" w:color="auto" w:fill="auto"/>
            <w:vAlign w:val="center"/>
          </w:tcPr>
          <w:p>
            <w:pPr>
              <w:jc w:val="center"/>
              <w:rPr>
                <w:sz w:val="18"/>
                <w:szCs w:val="18"/>
                <w:highlight w:val="none"/>
              </w:rPr>
            </w:pPr>
            <w:r>
              <w:rPr>
                <w:rFonts w:hint="eastAsia"/>
                <w:sz w:val="18"/>
                <w:szCs w:val="18"/>
                <w:highlight w:val="none"/>
              </w:rPr>
              <w:t>人员经费</w:t>
            </w:r>
          </w:p>
        </w:tc>
        <w:tc>
          <w:tcPr>
            <w:tcW w:w="1418" w:type="dxa"/>
            <w:gridSpan w:val="2"/>
            <w:shd w:val="clear" w:color="auto" w:fill="auto"/>
            <w:vAlign w:val="center"/>
          </w:tcPr>
          <w:p>
            <w:pPr>
              <w:jc w:val="center"/>
              <w:rPr>
                <w:sz w:val="18"/>
                <w:szCs w:val="18"/>
                <w:highlight w:val="none"/>
              </w:rPr>
            </w:pPr>
            <w:r>
              <w:rPr>
                <w:rFonts w:hint="eastAsia"/>
                <w:sz w:val="18"/>
                <w:szCs w:val="18"/>
                <w:highlight w:val="none"/>
              </w:rPr>
              <w:t>公用经费</w:t>
            </w:r>
          </w:p>
        </w:tc>
        <w:tc>
          <w:tcPr>
            <w:tcW w:w="1417" w:type="dxa"/>
            <w:vMerge w:val="continue"/>
            <w:shd w:val="clear" w:color="auto" w:fill="auto"/>
            <w:vAlign w:val="center"/>
          </w:tcPr>
          <w:p>
            <w:pPr>
              <w:jc w:val="center"/>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28" w:hRule="atLeast"/>
          <w:tblHeader/>
        </w:trPr>
        <w:tc>
          <w:tcPr>
            <w:tcW w:w="534"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567"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567"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2551"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1418" w:type="dxa"/>
            <w:shd w:val="clear" w:color="auto" w:fill="auto"/>
            <w:vAlign w:val="center"/>
          </w:tcPr>
          <w:p>
            <w:pPr>
              <w:jc w:val="center"/>
              <w:rPr>
                <w:sz w:val="18"/>
                <w:szCs w:val="18"/>
                <w:highlight w:val="none"/>
              </w:rPr>
            </w:pPr>
            <w:r>
              <w:rPr>
                <w:rFonts w:hint="eastAsia"/>
                <w:sz w:val="18"/>
                <w:szCs w:val="18"/>
                <w:highlight w:val="none"/>
              </w:rPr>
              <w:t>1</w:t>
            </w:r>
          </w:p>
        </w:tc>
        <w:tc>
          <w:tcPr>
            <w:tcW w:w="1417" w:type="dxa"/>
            <w:shd w:val="clear" w:color="auto" w:fill="auto"/>
            <w:vAlign w:val="center"/>
          </w:tcPr>
          <w:p>
            <w:pPr>
              <w:jc w:val="center"/>
              <w:rPr>
                <w:sz w:val="18"/>
                <w:szCs w:val="18"/>
                <w:highlight w:val="none"/>
              </w:rPr>
            </w:pPr>
            <w:r>
              <w:rPr>
                <w:rFonts w:hint="eastAsia"/>
                <w:sz w:val="18"/>
                <w:szCs w:val="18"/>
                <w:highlight w:val="none"/>
              </w:rPr>
              <w:t>2</w:t>
            </w:r>
          </w:p>
        </w:tc>
        <w:tc>
          <w:tcPr>
            <w:tcW w:w="1418" w:type="dxa"/>
            <w:gridSpan w:val="2"/>
            <w:shd w:val="clear" w:color="auto" w:fill="auto"/>
            <w:vAlign w:val="center"/>
          </w:tcPr>
          <w:p>
            <w:pPr>
              <w:jc w:val="center"/>
              <w:rPr>
                <w:sz w:val="18"/>
                <w:szCs w:val="18"/>
                <w:highlight w:val="none"/>
              </w:rPr>
            </w:pPr>
            <w:r>
              <w:rPr>
                <w:rFonts w:hint="eastAsia"/>
                <w:sz w:val="18"/>
                <w:szCs w:val="18"/>
                <w:highlight w:val="none"/>
              </w:rPr>
              <w:t>3</w:t>
            </w:r>
          </w:p>
        </w:tc>
        <w:tc>
          <w:tcPr>
            <w:tcW w:w="1417" w:type="dxa"/>
            <w:shd w:val="clear" w:color="auto" w:fill="auto"/>
            <w:vAlign w:val="center"/>
          </w:tcPr>
          <w:p>
            <w:pPr>
              <w:jc w:val="center"/>
              <w:rPr>
                <w:sz w:val="18"/>
                <w:szCs w:val="18"/>
                <w:highlight w:val="none"/>
              </w:rPr>
            </w:pPr>
            <w:r>
              <w:rPr>
                <w:rFonts w:hint="eastAsia"/>
                <w:sz w:val="18"/>
                <w:szCs w:val="18"/>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2551" w:type="dxa"/>
            <w:shd w:val="clear" w:color="auto" w:fill="auto"/>
            <w:vAlign w:val="center"/>
          </w:tcPr>
          <w:p>
            <w:pPr>
              <w:jc w:val="left"/>
              <w:rPr>
                <w:sz w:val="18"/>
                <w:szCs w:val="18"/>
                <w:highlight w:val="none"/>
              </w:rPr>
            </w:pPr>
          </w:p>
        </w:tc>
        <w:tc>
          <w:tcPr>
            <w:tcW w:w="1418" w:type="dxa"/>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c>
          <w:tcPr>
            <w:tcW w:w="1418" w:type="dxa"/>
            <w:gridSpan w:val="2"/>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2551" w:type="dxa"/>
            <w:shd w:val="clear" w:color="auto" w:fill="auto"/>
            <w:vAlign w:val="center"/>
          </w:tcPr>
          <w:p>
            <w:pPr>
              <w:jc w:val="left"/>
              <w:rPr>
                <w:sz w:val="18"/>
                <w:szCs w:val="18"/>
                <w:highlight w:val="none"/>
              </w:rPr>
            </w:pPr>
          </w:p>
        </w:tc>
        <w:tc>
          <w:tcPr>
            <w:tcW w:w="1418" w:type="dxa"/>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c>
          <w:tcPr>
            <w:tcW w:w="1418" w:type="dxa"/>
            <w:gridSpan w:val="2"/>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2551" w:type="dxa"/>
            <w:shd w:val="clear" w:color="auto" w:fill="auto"/>
            <w:vAlign w:val="center"/>
          </w:tcPr>
          <w:p>
            <w:pPr>
              <w:jc w:val="left"/>
              <w:rPr>
                <w:sz w:val="18"/>
                <w:szCs w:val="18"/>
                <w:highlight w:val="none"/>
              </w:rPr>
            </w:pPr>
          </w:p>
        </w:tc>
        <w:tc>
          <w:tcPr>
            <w:tcW w:w="1418" w:type="dxa"/>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c>
          <w:tcPr>
            <w:tcW w:w="1418" w:type="dxa"/>
            <w:gridSpan w:val="2"/>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2551" w:type="dxa"/>
            <w:shd w:val="clear" w:color="auto" w:fill="auto"/>
            <w:vAlign w:val="center"/>
          </w:tcPr>
          <w:p>
            <w:pPr>
              <w:jc w:val="left"/>
              <w:rPr>
                <w:sz w:val="18"/>
                <w:szCs w:val="18"/>
                <w:highlight w:val="none"/>
              </w:rPr>
            </w:pPr>
          </w:p>
        </w:tc>
        <w:tc>
          <w:tcPr>
            <w:tcW w:w="1418" w:type="dxa"/>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c>
          <w:tcPr>
            <w:tcW w:w="1418" w:type="dxa"/>
            <w:gridSpan w:val="2"/>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2551" w:type="dxa"/>
            <w:shd w:val="clear" w:color="auto" w:fill="auto"/>
            <w:vAlign w:val="center"/>
          </w:tcPr>
          <w:p>
            <w:pPr>
              <w:jc w:val="left"/>
              <w:rPr>
                <w:sz w:val="18"/>
                <w:szCs w:val="18"/>
                <w:highlight w:val="none"/>
              </w:rPr>
            </w:pPr>
          </w:p>
        </w:tc>
        <w:tc>
          <w:tcPr>
            <w:tcW w:w="1418" w:type="dxa"/>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c>
          <w:tcPr>
            <w:tcW w:w="1418" w:type="dxa"/>
            <w:gridSpan w:val="2"/>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r>
    </w:tbl>
    <w:p>
      <w:pPr>
        <w:widowControl/>
        <w:jc w:val="left"/>
        <w:rPr>
          <w:rFonts w:hint="default" w:ascii="仿宋" w:eastAsia="仿宋"/>
          <w:b/>
          <w:color w:val="000000"/>
          <w:szCs w:val="21"/>
          <w:highlight w:val="none"/>
        </w:rPr>
      </w:pPr>
      <w:r>
        <w:rPr>
          <w:rFonts w:hint="eastAsia" w:ascii="仿宋" w:eastAsia="仿宋"/>
          <w:b/>
          <w:color w:val="000000"/>
          <w:szCs w:val="21"/>
          <w:highlight w:val="none"/>
        </w:rPr>
        <w:t>皮山县木奎拉乡卫生院2025年没有使用政府性基金预算拨款安排的支出，政府性基金预算支出情况表为空表。</w:t>
      </w:r>
    </w:p>
    <w:p>
      <w:pPr>
        <w:widowControl/>
        <w:jc w:val="left"/>
        <w:rPr>
          <w:rFonts w:hint="default" w:ascii="仿宋" w:eastAsia="仿宋"/>
          <w:b/>
          <w:color w:val="000000"/>
          <w:szCs w:val="21"/>
          <w:highlight w:val="none"/>
        </w:rPr>
        <w:sectPr>
          <w:pgSz w:w="11906" w:h="16838"/>
          <w:pgMar w:top="1134" w:right="1134" w:bottom="1134" w:left="1134" w:header="851" w:footer="992" w:gutter="0"/>
          <w:cols w:space="425" w:num="1"/>
          <w:docGrid w:type="lines" w:linePitch="312" w:charSpace="0"/>
        </w:sectPr>
      </w:pPr>
    </w:p>
    <w:p>
      <w:pPr>
        <w:rPr>
          <w:highlight w:val="none"/>
        </w:rPr>
      </w:pPr>
      <w:r>
        <w:rPr>
          <w:rFonts w:hint="eastAsia" w:ascii="宋体" w:hAnsi="宋体"/>
          <w:color w:val="000000"/>
          <w:sz w:val="18"/>
          <w:szCs w:val="18"/>
          <w:highlight w:val="none"/>
        </w:rPr>
        <w:t>表9</w:t>
      </w:r>
    </w:p>
    <w:p>
      <w:pPr>
        <w:jc w:val="center"/>
        <w:rPr>
          <w:rFonts w:hint="default" w:ascii="仿宋" w:hAnsi="宋体" w:eastAsia="仿宋"/>
          <w:b/>
          <w:color w:val="000000"/>
          <w:sz w:val="28"/>
          <w:szCs w:val="28"/>
          <w:highlight w:val="none"/>
        </w:rPr>
      </w:pPr>
      <w:r>
        <w:rPr>
          <w:rFonts w:hint="eastAsia" w:ascii="仿宋" w:hAnsi="宋体" w:eastAsia="仿宋"/>
          <w:b/>
          <w:color w:val="000000"/>
          <w:sz w:val="28"/>
          <w:szCs w:val="28"/>
          <w:highlight w:val="none"/>
        </w:rPr>
        <w:t>国有资本经营预算支出情况表</w:t>
      </w:r>
    </w:p>
    <w:tbl>
      <w:tblPr>
        <w:tblStyle w:val="7"/>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534"/>
        <w:gridCol w:w="567"/>
        <w:gridCol w:w="567"/>
        <w:gridCol w:w="2551"/>
        <w:gridCol w:w="1418"/>
        <w:gridCol w:w="1417"/>
        <w:gridCol w:w="917"/>
        <w:gridCol w:w="501"/>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00" w:hRule="atLeast"/>
          <w:tblHeader/>
        </w:trPr>
        <w:tc>
          <w:tcPr>
            <w:tcW w:w="7971" w:type="dxa"/>
            <w:gridSpan w:val="7"/>
            <w:tcBorders>
              <w:top w:val="nil"/>
              <w:left w:val="nil"/>
              <w:right w:val="nil"/>
            </w:tcBorders>
            <w:shd w:val="clear" w:color="auto" w:fill="auto"/>
            <w:vAlign w:val="center"/>
          </w:tcPr>
          <w:p>
            <w:pPr>
              <w:jc w:val="left"/>
              <w:rPr>
                <w:sz w:val="18"/>
                <w:szCs w:val="18"/>
                <w:highlight w:val="none"/>
              </w:rPr>
            </w:pPr>
            <w:r>
              <w:rPr>
                <w:rFonts w:hint="eastAsia"/>
                <w:color w:val="000000"/>
                <w:sz w:val="18"/>
                <w:szCs w:val="18"/>
                <w:highlight w:val="none"/>
              </w:rPr>
              <w:t>编制部门：皮山县木奎拉乡卫生院</w:t>
            </w:r>
          </w:p>
        </w:tc>
        <w:tc>
          <w:tcPr>
            <w:tcW w:w="1918" w:type="dxa"/>
            <w:gridSpan w:val="2"/>
            <w:tcBorders>
              <w:top w:val="nil"/>
              <w:left w:val="nil"/>
              <w:right w:val="nil"/>
            </w:tcBorders>
            <w:shd w:val="clear" w:color="auto" w:fill="auto"/>
            <w:vAlign w:val="center"/>
          </w:tcPr>
          <w:p>
            <w:pPr>
              <w:jc w:val="right"/>
              <w:rPr>
                <w:sz w:val="18"/>
                <w:szCs w:val="18"/>
                <w:highlight w:val="none"/>
              </w:rPr>
            </w:pPr>
            <w:r>
              <w:rPr>
                <w:rFonts w:hint="eastAsia"/>
                <w:color w:val="000000"/>
                <w:sz w:val="18"/>
                <w:szCs w:val="18"/>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00" w:hRule="atLeast"/>
          <w:tblHeader/>
        </w:trPr>
        <w:tc>
          <w:tcPr>
            <w:tcW w:w="4219" w:type="dxa"/>
            <w:gridSpan w:val="4"/>
            <w:shd w:val="clear" w:color="auto" w:fill="auto"/>
            <w:vAlign w:val="center"/>
          </w:tcPr>
          <w:p>
            <w:pPr>
              <w:jc w:val="center"/>
              <w:rPr>
                <w:sz w:val="18"/>
                <w:szCs w:val="18"/>
                <w:highlight w:val="none"/>
              </w:rPr>
            </w:pPr>
            <w:r>
              <w:rPr>
                <w:rFonts w:hint="eastAsia"/>
                <w:sz w:val="18"/>
                <w:szCs w:val="18"/>
                <w:highlight w:val="none"/>
              </w:rPr>
              <w:t>科目</w:t>
            </w:r>
          </w:p>
        </w:tc>
        <w:tc>
          <w:tcPr>
            <w:tcW w:w="5670" w:type="dxa"/>
            <w:gridSpan w:val="5"/>
            <w:shd w:val="clear" w:color="auto" w:fill="auto"/>
            <w:vAlign w:val="center"/>
          </w:tcPr>
          <w:p>
            <w:pPr>
              <w:jc w:val="center"/>
              <w:rPr>
                <w:sz w:val="18"/>
                <w:szCs w:val="18"/>
                <w:highlight w:val="none"/>
              </w:rPr>
            </w:pPr>
            <w:r>
              <w:rPr>
                <w:rFonts w:hint="eastAsia"/>
                <w:sz w:val="18"/>
                <w:szCs w:val="18"/>
                <w:highlight w:val="none"/>
              </w:rPr>
              <w:t>国有资本经营预算支出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0" w:hRule="atLeast"/>
          <w:tblHeader/>
        </w:trPr>
        <w:tc>
          <w:tcPr>
            <w:tcW w:w="1668" w:type="dxa"/>
            <w:gridSpan w:val="3"/>
            <w:shd w:val="clear" w:color="auto" w:fill="auto"/>
            <w:vAlign w:val="center"/>
          </w:tcPr>
          <w:p>
            <w:pPr>
              <w:jc w:val="center"/>
              <w:rPr>
                <w:sz w:val="18"/>
                <w:szCs w:val="18"/>
                <w:highlight w:val="none"/>
              </w:rPr>
            </w:pPr>
            <w:r>
              <w:rPr>
                <w:rFonts w:hint="eastAsia"/>
                <w:sz w:val="18"/>
                <w:szCs w:val="18"/>
                <w:highlight w:val="none"/>
              </w:rPr>
              <w:t>功能分类科目编码</w:t>
            </w:r>
          </w:p>
        </w:tc>
        <w:tc>
          <w:tcPr>
            <w:tcW w:w="2551" w:type="dxa"/>
            <w:vMerge w:val="restart"/>
            <w:shd w:val="clear" w:color="auto" w:fill="auto"/>
            <w:vAlign w:val="center"/>
          </w:tcPr>
          <w:p>
            <w:pPr>
              <w:jc w:val="center"/>
              <w:rPr>
                <w:sz w:val="18"/>
                <w:szCs w:val="18"/>
                <w:highlight w:val="none"/>
              </w:rPr>
            </w:pPr>
            <w:r>
              <w:rPr>
                <w:rFonts w:hint="eastAsia"/>
                <w:sz w:val="18"/>
                <w:szCs w:val="18"/>
                <w:highlight w:val="none"/>
              </w:rPr>
              <w:t>功能分类科目名称</w:t>
            </w:r>
          </w:p>
        </w:tc>
        <w:tc>
          <w:tcPr>
            <w:tcW w:w="1418" w:type="dxa"/>
            <w:vMerge w:val="restart"/>
            <w:shd w:val="clear" w:color="auto" w:fill="auto"/>
            <w:vAlign w:val="center"/>
          </w:tcPr>
          <w:p>
            <w:pPr>
              <w:jc w:val="center"/>
              <w:rPr>
                <w:sz w:val="18"/>
                <w:szCs w:val="18"/>
                <w:highlight w:val="none"/>
              </w:rPr>
            </w:pPr>
            <w:r>
              <w:rPr>
                <w:rFonts w:hint="eastAsia"/>
                <w:sz w:val="18"/>
                <w:szCs w:val="18"/>
                <w:highlight w:val="none"/>
              </w:rPr>
              <w:t>合计</w:t>
            </w:r>
          </w:p>
        </w:tc>
        <w:tc>
          <w:tcPr>
            <w:tcW w:w="2835" w:type="dxa"/>
            <w:gridSpan w:val="3"/>
            <w:shd w:val="clear" w:color="auto" w:fill="auto"/>
            <w:vAlign w:val="center"/>
          </w:tcPr>
          <w:p>
            <w:pPr>
              <w:jc w:val="center"/>
              <w:rPr>
                <w:sz w:val="18"/>
                <w:szCs w:val="18"/>
                <w:highlight w:val="none"/>
              </w:rPr>
            </w:pPr>
            <w:r>
              <w:rPr>
                <w:rFonts w:hint="eastAsia"/>
                <w:sz w:val="18"/>
                <w:szCs w:val="18"/>
                <w:highlight w:val="none"/>
              </w:rPr>
              <w:t>基本支出</w:t>
            </w:r>
          </w:p>
        </w:tc>
        <w:tc>
          <w:tcPr>
            <w:tcW w:w="1417" w:type="dxa"/>
            <w:vMerge w:val="restart"/>
            <w:shd w:val="clear" w:color="auto" w:fill="auto"/>
            <w:vAlign w:val="center"/>
          </w:tcPr>
          <w:p>
            <w:pPr>
              <w:jc w:val="center"/>
              <w:rPr>
                <w:sz w:val="18"/>
                <w:szCs w:val="18"/>
                <w:highlight w:val="none"/>
              </w:rPr>
            </w:pPr>
            <w:r>
              <w:rPr>
                <w:rFonts w:hint="eastAsia"/>
                <w:sz w:val="18"/>
                <w:szCs w:val="18"/>
                <w:highlight w:val="none"/>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10" w:hRule="atLeast"/>
          <w:tblHeader/>
        </w:trPr>
        <w:tc>
          <w:tcPr>
            <w:tcW w:w="534" w:type="dxa"/>
            <w:shd w:val="clear" w:color="auto" w:fill="auto"/>
            <w:vAlign w:val="center"/>
          </w:tcPr>
          <w:p>
            <w:pPr>
              <w:jc w:val="center"/>
              <w:rPr>
                <w:sz w:val="18"/>
                <w:szCs w:val="18"/>
                <w:highlight w:val="none"/>
              </w:rPr>
            </w:pPr>
            <w:r>
              <w:rPr>
                <w:rFonts w:hint="eastAsia"/>
                <w:sz w:val="18"/>
                <w:szCs w:val="18"/>
                <w:highlight w:val="none"/>
              </w:rPr>
              <w:t>类</w:t>
            </w:r>
          </w:p>
        </w:tc>
        <w:tc>
          <w:tcPr>
            <w:tcW w:w="567" w:type="dxa"/>
            <w:shd w:val="clear" w:color="auto" w:fill="auto"/>
            <w:vAlign w:val="center"/>
          </w:tcPr>
          <w:p>
            <w:pPr>
              <w:jc w:val="center"/>
              <w:rPr>
                <w:sz w:val="18"/>
                <w:szCs w:val="18"/>
                <w:highlight w:val="none"/>
              </w:rPr>
            </w:pPr>
            <w:r>
              <w:rPr>
                <w:rFonts w:hint="eastAsia"/>
                <w:sz w:val="18"/>
                <w:szCs w:val="18"/>
                <w:highlight w:val="none"/>
              </w:rPr>
              <w:t>款</w:t>
            </w:r>
          </w:p>
        </w:tc>
        <w:tc>
          <w:tcPr>
            <w:tcW w:w="567" w:type="dxa"/>
            <w:shd w:val="clear" w:color="auto" w:fill="auto"/>
            <w:vAlign w:val="center"/>
          </w:tcPr>
          <w:p>
            <w:pPr>
              <w:jc w:val="center"/>
              <w:rPr>
                <w:sz w:val="18"/>
                <w:szCs w:val="18"/>
                <w:highlight w:val="none"/>
              </w:rPr>
            </w:pPr>
            <w:r>
              <w:rPr>
                <w:rFonts w:hint="eastAsia"/>
                <w:sz w:val="18"/>
                <w:szCs w:val="18"/>
                <w:highlight w:val="none"/>
              </w:rPr>
              <w:t>项</w:t>
            </w:r>
          </w:p>
        </w:tc>
        <w:tc>
          <w:tcPr>
            <w:tcW w:w="2551" w:type="dxa"/>
            <w:vMerge w:val="continue"/>
            <w:shd w:val="clear" w:color="auto" w:fill="auto"/>
            <w:vAlign w:val="center"/>
          </w:tcPr>
          <w:p>
            <w:pPr>
              <w:jc w:val="center"/>
              <w:rPr>
                <w:sz w:val="18"/>
                <w:szCs w:val="18"/>
                <w:highlight w:val="none"/>
              </w:rPr>
            </w:pPr>
          </w:p>
        </w:tc>
        <w:tc>
          <w:tcPr>
            <w:tcW w:w="1418" w:type="dxa"/>
            <w:vMerge w:val="continue"/>
            <w:shd w:val="clear" w:color="auto" w:fill="auto"/>
            <w:vAlign w:val="center"/>
          </w:tcPr>
          <w:p>
            <w:pPr>
              <w:jc w:val="center"/>
              <w:rPr>
                <w:sz w:val="18"/>
                <w:szCs w:val="18"/>
                <w:highlight w:val="none"/>
              </w:rPr>
            </w:pPr>
          </w:p>
        </w:tc>
        <w:tc>
          <w:tcPr>
            <w:tcW w:w="1417" w:type="dxa"/>
            <w:shd w:val="clear" w:color="auto" w:fill="auto"/>
            <w:vAlign w:val="center"/>
          </w:tcPr>
          <w:p>
            <w:pPr>
              <w:jc w:val="center"/>
              <w:rPr>
                <w:sz w:val="18"/>
                <w:szCs w:val="18"/>
                <w:highlight w:val="none"/>
              </w:rPr>
            </w:pPr>
            <w:r>
              <w:rPr>
                <w:rFonts w:hint="eastAsia"/>
                <w:sz w:val="18"/>
                <w:szCs w:val="18"/>
                <w:highlight w:val="none"/>
              </w:rPr>
              <w:t>人员经费</w:t>
            </w:r>
          </w:p>
        </w:tc>
        <w:tc>
          <w:tcPr>
            <w:tcW w:w="1418" w:type="dxa"/>
            <w:gridSpan w:val="2"/>
            <w:shd w:val="clear" w:color="auto" w:fill="auto"/>
            <w:vAlign w:val="center"/>
          </w:tcPr>
          <w:p>
            <w:pPr>
              <w:jc w:val="center"/>
              <w:rPr>
                <w:sz w:val="18"/>
                <w:szCs w:val="18"/>
                <w:highlight w:val="none"/>
              </w:rPr>
            </w:pPr>
            <w:r>
              <w:rPr>
                <w:rFonts w:hint="eastAsia"/>
                <w:sz w:val="18"/>
                <w:szCs w:val="18"/>
                <w:highlight w:val="none"/>
              </w:rPr>
              <w:t>公用经费</w:t>
            </w:r>
          </w:p>
        </w:tc>
        <w:tc>
          <w:tcPr>
            <w:tcW w:w="1417" w:type="dxa"/>
            <w:vMerge w:val="continue"/>
            <w:shd w:val="clear" w:color="auto" w:fill="auto"/>
            <w:vAlign w:val="center"/>
          </w:tcPr>
          <w:p>
            <w:pPr>
              <w:jc w:val="center"/>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28" w:hRule="atLeast"/>
          <w:tblHeader/>
        </w:trPr>
        <w:tc>
          <w:tcPr>
            <w:tcW w:w="534"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567"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567"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2551"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1418" w:type="dxa"/>
            <w:shd w:val="clear" w:color="auto" w:fill="auto"/>
            <w:vAlign w:val="center"/>
          </w:tcPr>
          <w:p>
            <w:pPr>
              <w:jc w:val="center"/>
              <w:rPr>
                <w:sz w:val="18"/>
                <w:szCs w:val="18"/>
                <w:highlight w:val="none"/>
              </w:rPr>
            </w:pPr>
            <w:r>
              <w:rPr>
                <w:rFonts w:hint="eastAsia"/>
                <w:sz w:val="18"/>
                <w:szCs w:val="18"/>
                <w:highlight w:val="none"/>
              </w:rPr>
              <w:t>1</w:t>
            </w:r>
          </w:p>
        </w:tc>
        <w:tc>
          <w:tcPr>
            <w:tcW w:w="1417" w:type="dxa"/>
            <w:shd w:val="clear" w:color="auto" w:fill="auto"/>
            <w:vAlign w:val="center"/>
          </w:tcPr>
          <w:p>
            <w:pPr>
              <w:jc w:val="center"/>
              <w:rPr>
                <w:sz w:val="18"/>
                <w:szCs w:val="18"/>
                <w:highlight w:val="none"/>
              </w:rPr>
            </w:pPr>
            <w:r>
              <w:rPr>
                <w:rFonts w:hint="eastAsia"/>
                <w:sz w:val="18"/>
                <w:szCs w:val="18"/>
                <w:highlight w:val="none"/>
              </w:rPr>
              <w:t>2</w:t>
            </w:r>
          </w:p>
        </w:tc>
        <w:tc>
          <w:tcPr>
            <w:tcW w:w="1418" w:type="dxa"/>
            <w:gridSpan w:val="2"/>
            <w:shd w:val="clear" w:color="auto" w:fill="auto"/>
            <w:vAlign w:val="center"/>
          </w:tcPr>
          <w:p>
            <w:pPr>
              <w:jc w:val="center"/>
              <w:rPr>
                <w:sz w:val="18"/>
                <w:szCs w:val="18"/>
                <w:highlight w:val="none"/>
              </w:rPr>
            </w:pPr>
            <w:r>
              <w:rPr>
                <w:rFonts w:hint="eastAsia"/>
                <w:sz w:val="18"/>
                <w:szCs w:val="18"/>
                <w:highlight w:val="none"/>
              </w:rPr>
              <w:t>3</w:t>
            </w:r>
          </w:p>
        </w:tc>
        <w:tc>
          <w:tcPr>
            <w:tcW w:w="1417" w:type="dxa"/>
            <w:shd w:val="clear" w:color="auto" w:fill="auto"/>
            <w:vAlign w:val="center"/>
          </w:tcPr>
          <w:p>
            <w:pPr>
              <w:jc w:val="center"/>
              <w:rPr>
                <w:sz w:val="18"/>
                <w:szCs w:val="18"/>
                <w:highlight w:val="none"/>
              </w:rPr>
            </w:pPr>
            <w:r>
              <w:rPr>
                <w:rFonts w:hint="eastAsia"/>
                <w:sz w:val="18"/>
                <w:szCs w:val="18"/>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2551" w:type="dxa"/>
            <w:shd w:val="clear" w:color="auto" w:fill="auto"/>
            <w:vAlign w:val="center"/>
          </w:tcPr>
          <w:p>
            <w:pPr>
              <w:jc w:val="left"/>
              <w:rPr>
                <w:sz w:val="18"/>
                <w:szCs w:val="18"/>
                <w:highlight w:val="none"/>
              </w:rPr>
            </w:pPr>
          </w:p>
        </w:tc>
        <w:tc>
          <w:tcPr>
            <w:tcW w:w="1418" w:type="dxa"/>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c>
          <w:tcPr>
            <w:tcW w:w="1418" w:type="dxa"/>
            <w:gridSpan w:val="2"/>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2551" w:type="dxa"/>
            <w:shd w:val="clear" w:color="auto" w:fill="auto"/>
            <w:vAlign w:val="center"/>
          </w:tcPr>
          <w:p>
            <w:pPr>
              <w:jc w:val="left"/>
              <w:rPr>
                <w:sz w:val="18"/>
                <w:szCs w:val="18"/>
                <w:highlight w:val="none"/>
              </w:rPr>
            </w:pPr>
          </w:p>
        </w:tc>
        <w:tc>
          <w:tcPr>
            <w:tcW w:w="1418" w:type="dxa"/>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c>
          <w:tcPr>
            <w:tcW w:w="1418" w:type="dxa"/>
            <w:gridSpan w:val="2"/>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2551" w:type="dxa"/>
            <w:shd w:val="clear" w:color="auto" w:fill="auto"/>
            <w:vAlign w:val="center"/>
          </w:tcPr>
          <w:p>
            <w:pPr>
              <w:jc w:val="left"/>
              <w:rPr>
                <w:sz w:val="18"/>
                <w:szCs w:val="18"/>
                <w:highlight w:val="none"/>
              </w:rPr>
            </w:pPr>
          </w:p>
        </w:tc>
        <w:tc>
          <w:tcPr>
            <w:tcW w:w="1418" w:type="dxa"/>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c>
          <w:tcPr>
            <w:tcW w:w="1418" w:type="dxa"/>
            <w:gridSpan w:val="2"/>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2551" w:type="dxa"/>
            <w:shd w:val="clear" w:color="auto" w:fill="auto"/>
            <w:vAlign w:val="center"/>
          </w:tcPr>
          <w:p>
            <w:pPr>
              <w:jc w:val="left"/>
              <w:rPr>
                <w:sz w:val="18"/>
                <w:szCs w:val="18"/>
                <w:highlight w:val="none"/>
              </w:rPr>
            </w:pPr>
          </w:p>
        </w:tc>
        <w:tc>
          <w:tcPr>
            <w:tcW w:w="1418" w:type="dxa"/>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c>
          <w:tcPr>
            <w:tcW w:w="1418" w:type="dxa"/>
            <w:gridSpan w:val="2"/>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2551" w:type="dxa"/>
            <w:shd w:val="clear" w:color="auto" w:fill="auto"/>
            <w:vAlign w:val="center"/>
          </w:tcPr>
          <w:p>
            <w:pPr>
              <w:jc w:val="left"/>
              <w:rPr>
                <w:sz w:val="18"/>
                <w:szCs w:val="18"/>
                <w:highlight w:val="none"/>
              </w:rPr>
            </w:pPr>
          </w:p>
        </w:tc>
        <w:tc>
          <w:tcPr>
            <w:tcW w:w="1418" w:type="dxa"/>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c>
          <w:tcPr>
            <w:tcW w:w="1418" w:type="dxa"/>
            <w:gridSpan w:val="2"/>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r>
    </w:tbl>
    <w:p>
      <w:pPr>
        <w:widowControl/>
        <w:jc w:val="left"/>
        <w:rPr>
          <w:rFonts w:hint="default" w:ascii="仿宋" w:eastAsia="仿宋"/>
          <w:b/>
          <w:color w:val="000000"/>
          <w:szCs w:val="21"/>
          <w:highlight w:val="none"/>
        </w:rPr>
      </w:pPr>
      <w:r>
        <w:rPr>
          <w:rFonts w:hint="eastAsia" w:ascii="仿宋" w:eastAsia="仿宋"/>
          <w:b/>
          <w:color w:val="000000"/>
          <w:szCs w:val="21"/>
          <w:highlight w:val="none"/>
        </w:rPr>
        <w:t>皮山县木奎拉乡卫生院2025年没有使用国有资本经营预算拨款安排的支出，国有资本经营预算支出情况表为空表。</w:t>
      </w:r>
    </w:p>
    <w:p>
      <w:pPr>
        <w:widowControl/>
        <w:jc w:val="left"/>
        <w:rPr>
          <w:rFonts w:hint="default" w:ascii="仿宋" w:eastAsia="仿宋"/>
          <w:b/>
          <w:color w:val="000000"/>
          <w:szCs w:val="21"/>
          <w:highlight w:val="none"/>
        </w:rPr>
        <w:sectPr>
          <w:pgSz w:w="11906" w:h="16838"/>
          <w:pgMar w:top="1134" w:right="1134" w:bottom="1134" w:left="1134" w:header="851" w:footer="992" w:gutter="0"/>
          <w:cols w:space="425" w:num="1"/>
          <w:docGrid w:type="lines" w:linePitch="312" w:charSpace="0"/>
        </w:sectPr>
      </w:pPr>
    </w:p>
    <w:p>
      <w:pPr>
        <w:rPr>
          <w:highlight w:val="none"/>
        </w:rPr>
      </w:pPr>
      <w:r>
        <w:rPr>
          <w:rFonts w:hint="eastAsia" w:ascii="宋体" w:hAnsi="宋体"/>
          <w:color w:val="000000"/>
          <w:sz w:val="18"/>
          <w:szCs w:val="18"/>
          <w:highlight w:val="none"/>
        </w:rPr>
        <w:t>表10</w:t>
      </w:r>
    </w:p>
    <w:p>
      <w:pPr>
        <w:jc w:val="center"/>
        <w:rPr>
          <w:rFonts w:hint="default" w:ascii="仿宋" w:hAnsi="宋体" w:eastAsia="仿宋"/>
          <w:b/>
          <w:color w:val="000000"/>
          <w:sz w:val="28"/>
          <w:szCs w:val="28"/>
          <w:highlight w:val="none"/>
        </w:rPr>
      </w:pPr>
      <w:r>
        <w:rPr>
          <w:rFonts w:hint="eastAsia" w:ascii="仿宋" w:hAnsi="宋体" w:eastAsia="仿宋"/>
          <w:b/>
          <w:color w:val="000000"/>
          <w:sz w:val="28"/>
          <w:szCs w:val="28"/>
          <w:highlight w:val="none"/>
        </w:rPr>
        <w:t>财政拨款“三公”经费支出情况表</w:t>
      </w:r>
    </w:p>
    <w:tbl>
      <w:tblPr>
        <w:tblStyle w:val="7"/>
        <w:tblW w:w="971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4191"/>
        <w:gridCol w:w="1373"/>
        <w:gridCol w:w="1373"/>
        <w:gridCol w:w="1373"/>
        <w:gridCol w:w="1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64" w:hRule="atLeast"/>
          <w:tblHeader/>
          <w:jc w:val="center"/>
        </w:trPr>
        <w:tc>
          <w:tcPr>
            <w:tcW w:w="8310" w:type="dxa"/>
            <w:gridSpan w:val="4"/>
            <w:tcBorders>
              <w:top w:val="nil"/>
              <w:left w:val="nil"/>
              <w:right w:val="nil"/>
            </w:tcBorders>
            <w:shd w:val="clear" w:color="auto" w:fill="auto"/>
            <w:vAlign w:val="center"/>
          </w:tcPr>
          <w:p>
            <w:pPr>
              <w:jc w:val="left"/>
              <w:rPr>
                <w:rFonts w:hint="default" w:ascii="宋体" w:hAnsi="宋体"/>
                <w:sz w:val="18"/>
                <w:szCs w:val="18"/>
                <w:highlight w:val="none"/>
              </w:rPr>
            </w:pPr>
            <w:r>
              <w:rPr>
                <w:rFonts w:hint="eastAsia"/>
                <w:color w:val="000000"/>
                <w:sz w:val="18"/>
                <w:szCs w:val="18"/>
                <w:highlight w:val="none"/>
              </w:rPr>
              <w:t>编制部门：皮山县木奎拉乡卫生院</w:t>
            </w:r>
          </w:p>
        </w:tc>
        <w:tc>
          <w:tcPr>
            <w:tcW w:w="1403" w:type="dxa"/>
            <w:tcBorders>
              <w:top w:val="nil"/>
              <w:left w:val="nil"/>
              <w:right w:val="nil"/>
            </w:tcBorders>
            <w:shd w:val="clear" w:color="auto" w:fill="auto"/>
            <w:vAlign w:val="center"/>
          </w:tcPr>
          <w:p>
            <w:pPr>
              <w:jc w:val="right"/>
              <w:rPr>
                <w:rFonts w:hint="default" w:ascii="宋体" w:hAnsi="宋体"/>
                <w:sz w:val="18"/>
                <w:szCs w:val="18"/>
                <w:highlight w:val="none"/>
              </w:rPr>
            </w:pPr>
            <w:r>
              <w:rPr>
                <w:rFonts w:hint="eastAsia"/>
                <w:color w:val="000000"/>
                <w:sz w:val="18"/>
                <w:szCs w:val="18"/>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64" w:hRule="atLeast"/>
          <w:tblHeader/>
          <w:jc w:val="center"/>
        </w:trPr>
        <w:tc>
          <w:tcPr>
            <w:tcW w:w="4191" w:type="dxa"/>
            <w:vMerge w:val="restart"/>
            <w:shd w:val="clear" w:color="auto" w:fill="auto"/>
            <w:vAlign w:val="center"/>
          </w:tcPr>
          <w:p>
            <w:pPr>
              <w:jc w:val="center"/>
              <w:rPr>
                <w:rFonts w:hint="default" w:ascii="宋体" w:hAnsi="宋体"/>
                <w:color w:val="000000"/>
                <w:sz w:val="18"/>
                <w:szCs w:val="18"/>
                <w:highlight w:val="none"/>
              </w:rPr>
            </w:pPr>
            <w:r>
              <w:rPr>
                <w:rFonts w:hint="eastAsia" w:ascii="宋体" w:hAnsi="宋体"/>
                <w:color w:val="000000"/>
                <w:sz w:val="18"/>
                <w:szCs w:val="18"/>
                <w:highlight w:val="none"/>
              </w:rPr>
              <w:t>“三公”经费支出内容</w:t>
            </w:r>
          </w:p>
        </w:tc>
        <w:tc>
          <w:tcPr>
            <w:tcW w:w="1373" w:type="dxa"/>
            <w:vMerge w:val="restart"/>
            <w:shd w:val="clear" w:color="auto" w:fill="auto"/>
            <w:vAlign w:val="center"/>
          </w:tcPr>
          <w:p>
            <w:pPr>
              <w:jc w:val="center"/>
              <w:rPr>
                <w:rFonts w:hint="default" w:ascii="宋体" w:hAnsi="宋体"/>
                <w:color w:val="000000"/>
                <w:sz w:val="18"/>
                <w:szCs w:val="18"/>
                <w:highlight w:val="none"/>
              </w:rPr>
            </w:pPr>
            <w:r>
              <w:rPr>
                <w:rFonts w:hint="eastAsia" w:ascii="宋体" w:hAnsi="宋体"/>
                <w:sz w:val="18"/>
                <w:szCs w:val="18"/>
                <w:highlight w:val="none"/>
              </w:rPr>
              <w:t>合计</w:t>
            </w:r>
          </w:p>
        </w:tc>
        <w:tc>
          <w:tcPr>
            <w:tcW w:w="4149" w:type="dxa"/>
            <w:gridSpan w:val="3"/>
            <w:shd w:val="clear" w:color="auto" w:fill="auto"/>
            <w:vAlign w:val="center"/>
          </w:tcPr>
          <w:p>
            <w:pPr>
              <w:jc w:val="center"/>
              <w:rPr>
                <w:rFonts w:hint="default" w:ascii="宋体" w:hAnsi="宋体"/>
                <w:color w:val="000000"/>
                <w:sz w:val="18"/>
                <w:szCs w:val="18"/>
                <w:highlight w:val="none"/>
              </w:rPr>
            </w:pPr>
            <w:r>
              <w:rPr>
                <w:rFonts w:hint="eastAsia"/>
                <w:sz w:val="18"/>
                <w:szCs w:val="18"/>
                <w:highlight w:val="none"/>
              </w:rPr>
              <w:t>资金来源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421" w:hRule="atLeast"/>
          <w:tblHeader/>
          <w:jc w:val="center"/>
        </w:trPr>
        <w:tc>
          <w:tcPr>
            <w:tcW w:w="4191" w:type="dxa"/>
            <w:vMerge w:val="continue"/>
            <w:shd w:val="clear" w:color="auto" w:fill="auto"/>
            <w:vAlign w:val="center"/>
          </w:tcPr>
          <w:p>
            <w:pPr>
              <w:jc w:val="center"/>
              <w:rPr>
                <w:rFonts w:hint="default" w:ascii="宋体" w:hAnsi="宋体"/>
                <w:color w:val="000000"/>
                <w:sz w:val="18"/>
                <w:szCs w:val="18"/>
                <w:highlight w:val="none"/>
              </w:rPr>
            </w:pPr>
          </w:p>
        </w:tc>
        <w:tc>
          <w:tcPr>
            <w:tcW w:w="1373" w:type="dxa"/>
            <w:vMerge w:val="continue"/>
            <w:shd w:val="clear" w:color="auto" w:fill="auto"/>
            <w:vAlign w:val="center"/>
          </w:tcPr>
          <w:p>
            <w:pPr>
              <w:jc w:val="center"/>
              <w:rPr>
                <w:rFonts w:hint="default" w:ascii="宋体" w:hAnsi="宋体"/>
                <w:color w:val="000000"/>
                <w:sz w:val="18"/>
                <w:szCs w:val="18"/>
                <w:highlight w:val="none"/>
              </w:rPr>
            </w:pPr>
          </w:p>
        </w:tc>
        <w:tc>
          <w:tcPr>
            <w:tcW w:w="1373" w:type="dxa"/>
            <w:shd w:val="clear" w:color="auto" w:fill="auto"/>
            <w:vAlign w:val="center"/>
          </w:tcPr>
          <w:p>
            <w:pPr>
              <w:jc w:val="center"/>
              <w:rPr>
                <w:rFonts w:hint="default" w:ascii="宋体" w:hAnsi="宋体"/>
                <w:sz w:val="18"/>
                <w:szCs w:val="18"/>
                <w:highlight w:val="none"/>
              </w:rPr>
            </w:pPr>
            <w:r>
              <w:rPr>
                <w:rFonts w:hint="eastAsia" w:ascii="宋体" w:hAnsi="宋体"/>
                <w:sz w:val="18"/>
                <w:szCs w:val="18"/>
                <w:highlight w:val="none"/>
              </w:rPr>
              <w:t>一般公共预算</w:t>
            </w:r>
          </w:p>
        </w:tc>
        <w:tc>
          <w:tcPr>
            <w:tcW w:w="1373" w:type="dxa"/>
            <w:shd w:val="clear" w:color="auto" w:fill="auto"/>
            <w:vAlign w:val="center"/>
          </w:tcPr>
          <w:p>
            <w:pPr>
              <w:jc w:val="center"/>
              <w:rPr>
                <w:rFonts w:hint="default" w:ascii="宋体" w:hAnsi="宋体"/>
                <w:sz w:val="18"/>
                <w:szCs w:val="18"/>
                <w:highlight w:val="none"/>
              </w:rPr>
            </w:pPr>
            <w:r>
              <w:rPr>
                <w:rFonts w:hint="eastAsia" w:ascii="宋体" w:hAnsi="宋体"/>
                <w:sz w:val="18"/>
                <w:szCs w:val="18"/>
                <w:highlight w:val="none"/>
              </w:rPr>
              <w:t>政府性基金</w:t>
            </w:r>
          </w:p>
        </w:tc>
        <w:tc>
          <w:tcPr>
            <w:tcW w:w="1403" w:type="dxa"/>
            <w:shd w:val="clear" w:color="auto" w:fill="auto"/>
            <w:vAlign w:val="center"/>
          </w:tcPr>
          <w:p>
            <w:pPr>
              <w:jc w:val="center"/>
              <w:rPr>
                <w:rFonts w:hint="default" w:ascii="宋体" w:hAnsi="宋体"/>
                <w:sz w:val="18"/>
                <w:szCs w:val="18"/>
                <w:highlight w:val="none"/>
              </w:rPr>
            </w:pPr>
            <w:r>
              <w:rPr>
                <w:rFonts w:hint="eastAsia" w:ascii="宋体" w:hAnsi="宋体"/>
                <w:sz w:val="18"/>
                <w:szCs w:val="18"/>
                <w:highlight w:val="none"/>
              </w:rPr>
              <w:t>国有资本经营预算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28" w:hRule="atLeast"/>
          <w:tblHeader/>
          <w:jc w:val="center"/>
        </w:trPr>
        <w:tc>
          <w:tcPr>
            <w:tcW w:w="4191" w:type="dxa"/>
            <w:shd w:val="clear" w:color="auto" w:fill="auto"/>
            <w:vAlign w:val="center"/>
          </w:tcPr>
          <w:p>
            <w:pPr>
              <w:jc w:val="center"/>
              <w:rPr>
                <w:rFonts w:hint="default" w:ascii="宋体" w:hAnsi="宋体"/>
                <w:color w:val="000000"/>
                <w:sz w:val="18"/>
                <w:szCs w:val="18"/>
                <w:highlight w:val="none"/>
              </w:rPr>
            </w:pPr>
            <w:r>
              <w:rPr>
                <w:rFonts w:hint="eastAsia"/>
                <w:color w:val="000000"/>
                <w:sz w:val="18"/>
                <w:szCs w:val="18"/>
                <w:highlight w:val="none"/>
              </w:rPr>
              <w:t>※</w:t>
            </w:r>
          </w:p>
        </w:tc>
        <w:tc>
          <w:tcPr>
            <w:tcW w:w="1373" w:type="dxa"/>
            <w:shd w:val="clear" w:color="auto" w:fill="auto"/>
            <w:vAlign w:val="center"/>
          </w:tcPr>
          <w:p>
            <w:pPr>
              <w:jc w:val="center"/>
              <w:rPr>
                <w:rFonts w:hint="default" w:ascii="宋体" w:hAnsi="宋体"/>
                <w:color w:val="000000"/>
                <w:sz w:val="18"/>
                <w:szCs w:val="18"/>
                <w:highlight w:val="none"/>
              </w:rPr>
            </w:pPr>
            <w:r>
              <w:rPr>
                <w:rFonts w:hint="eastAsia" w:ascii="宋体" w:hAnsi="宋体"/>
                <w:color w:val="000000"/>
                <w:sz w:val="18"/>
                <w:szCs w:val="18"/>
                <w:highlight w:val="none"/>
              </w:rPr>
              <w:t>1</w:t>
            </w:r>
          </w:p>
        </w:tc>
        <w:tc>
          <w:tcPr>
            <w:tcW w:w="1373" w:type="dxa"/>
            <w:shd w:val="clear" w:color="auto" w:fill="auto"/>
            <w:vAlign w:val="center"/>
          </w:tcPr>
          <w:p>
            <w:pPr>
              <w:jc w:val="center"/>
              <w:rPr>
                <w:rFonts w:hint="default" w:ascii="宋体" w:hAnsi="宋体"/>
                <w:color w:val="000000"/>
                <w:sz w:val="18"/>
                <w:szCs w:val="18"/>
                <w:highlight w:val="none"/>
              </w:rPr>
            </w:pPr>
            <w:r>
              <w:rPr>
                <w:rFonts w:hint="eastAsia" w:ascii="宋体" w:hAnsi="宋体"/>
                <w:color w:val="000000"/>
                <w:sz w:val="18"/>
                <w:szCs w:val="18"/>
                <w:highlight w:val="none"/>
              </w:rPr>
              <w:t>2</w:t>
            </w:r>
          </w:p>
        </w:tc>
        <w:tc>
          <w:tcPr>
            <w:tcW w:w="1373" w:type="dxa"/>
            <w:shd w:val="clear" w:color="auto" w:fill="auto"/>
            <w:vAlign w:val="center"/>
          </w:tcPr>
          <w:p>
            <w:pPr>
              <w:jc w:val="center"/>
              <w:rPr>
                <w:rFonts w:hint="default" w:ascii="宋体" w:hAnsi="宋体"/>
                <w:color w:val="000000"/>
                <w:sz w:val="18"/>
                <w:szCs w:val="18"/>
                <w:highlight w:val="none"/>
              </w:rPr>
            </w:pPr>
            <w:r>
              <w:rPr>
                <w:rFonts w:hint="eastAsia" w:ascii="宋体" w:hAnsi="宋体"/>
                <w:color w:val="000000"/>
                <w:sz w:val="18"/>
                <w:szCs w:val="18"/>
                <w:highlight w:val="none"/>
              </w:rPr>
              <w:t>3</w:t>
            </w:r>
          </w:p>
        </w:tc>
        <w:tc>
          <w:tcPr>
            <w:tcW w:w="1403" w:type="dxa"/>
            <w:shd w:val="clear" w:color="auto" w:fill="auto"/>
            <w:vAlign w:val="center"/>
          </w:tcPr>
          <w:p>
            <w:pPr>
              <w:jc w:val="center"/>
              <w:rPr>
                <w:rFonts w:hint="default" w:ascii="宋体" w:hAnsi="宋体"/>
                <w:color w:val="000000"/>
                <w:sz w:val="18"/>
                <w:szCs w:val="18"/>
                <w:highlight w:val="none"/>
              </w:rPr>
            </w:pPr>
            <w:r>
              <w:rPr>
                <w:rFonts w:hint="eastAsia" w:ascii="宋体" w:hAnsi="宋体"/>
                <w:color w:val="000000"/>
                <w:sz w:val="18"/>
                <w:szCs w:val="18"/>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jc w:val="center"/>
        </w:trPr>
        <w:tc>
          <w:tcPr>
            <w:tcW w:w="4191" w:type="dxa"/>
            <w:shd w:val="clear" w:color="auto" w:fill="auto"/>
            <w:vAlign w:val="center"/>
          </w:tcPr>
          <w:p>
            <w:pPr>
              <w:jc w:val="center"/>
              <w:rPr>
                <w:rFonts w:hint="default" w:ascii="宋体" w:hAnsi="宋体"/>
                <w:color w:val="000000"/>
                <w:sz w:val="18"/>
                <w:szCs w:val="18"/>
                <w:highlight w:val="none"/>
              </w:rPr>
            </w:pPr>
            <w:r>
              <w:rPr>
                <w:rFonts w:hint="default" w:ascii="宋体" w:hAnsi="宋体"/>
                <w:b/>
                <w:kern w:val="0"/>
                <w:sz w:val="18"/>
                <w:szCs w:val="18"/>
                <w:highlight w:val="none"/>
              </w:rPr>
              <w:t>合计</w:t>
            </w:r>
          </w:p>
        </w:tc>
        <w:tc>
          <w:tcPr>
            <w:tcW w:w="1373" w:type="dxa"/>
            <w:shd w:val="clear" w:color="auto" w:fill="auto"/>
            <w:vAlign w:val="center"/>
          </w:tcPr>
          <w:p>
            <w:pPr>
              <w:jc w:val="right"/>
              <w:rPr>
                <w:rFonts w:hint="default" w:ascii="宋体" w:hAnsi="宋体"/>
                <w:color w:val="000000"/>
                <w:sz w:val="18"/>
                <w:szCs w:val="18"/>
                <w:highlight w:val="none"/>
              </w:rPr>
            </w:pPr>
          </w:p>
        </w:tc>
        <w:tc>
          <w:tcPr>
            <w:tcW w:w="1373" w:type="dxa"/>
            <w:shd w:val="clear" w:color="auto" w:fill="auto"/>
            <w:vAlign w:val="center"/>
          </w:tcPr>
          <w:p>
            <w:pPr>
              <w:jc w:val="right"/>
              <w:rPr>
                <w:rFonts w:hint="default" w:ascii="宋体" w:hAnsi="宋体"/>
                <w:color w:val="000000"/>
                <w:sz w:val="18"/>
                <w:szCs w:val="18"/>
                <w:highlight w:val="none"/>
              </w:rPr>
            </w:pPr>
          </w:p>
        </w:tc>
        <w:tc>
          <w:tcPr>
            <w:tcW w:w="1373" w:type="dxa"/>
            <w:shd w:val="clear" w:color="auto" w:fill="auto"/>
            <w:vAlign w:val="center"/>
          </w:tcPr>
          <w:p>
            <w:pPr>
              <w:jc w:val="right"/>
              <w:rPr>
                <w:rFonts w:hint="default" w:ascii="宋体" w:hAnsi="宋体"/>
                <w:color w:val="000000"/>
                <w:sz w:val="18"/>
                <w:szCs w:val="18"/>
                <w:highlight w:val="none"/>
              </w:rPr>
            </w:pPr>
          </w:p>
        </w:tc>
        <w:tc>
          <w:tcPr>
            <w:tcW w:w="1403"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jc w:val="center"/>
        </w:trPr>
        <w:tc>
          <w:tcPr>
            <w:tcW w:w="4191" w:type="dxa"/>
            <w:shd w:val="clear" w:color="auto" w:fill="auto"/>
            <w:vAlign w:val="center"/>
          </w:tcPr>
          <w:p>
            <w:pPr>
              <w:jc w:val="center"/>
              <w:rPr>
                <w:rFonts w:hint="default" w:ascii="宋体" w:hAnsi="宋体"/>
                <w:color w:val="000000"/>
                <w:sz w:val="18"/>
                <w:szCs w:val="18"/>
                <w:highlight w:val="none"/>
              </w:rPr>
            </w:pPr>
            <w:r>
              <w:rPr>
                <w:rFonts w:hint="default" w:ascii="宋体" w:hAnsi="宋体"/>
                <w:kern w:val="0"/>
                <w:sz w:val="18"/>
                <w:szCs w:val="18"/>
                <w:highlight w:val="none"/>
              </w:rPr>
              <w:t>因公出国（境）费</w:t>
            </w:r>
          </w:p>
        </w:tc>
        <w:tc>
          <w:tcPr>
            <w:tcW w:w="1373" w:type="dxa"/>
            <w:shd w:val="clear" w:color="auto" w:fill="auto"/>
            <w:vAlign w:val="center"/>
          </w:tcPr>
          <w:p>
            <w:pPr>
              <w:jc w:val="right"/>
              <w:rPr>
                <w:rFonts w:hint="default" w:ascii="宋体" w:hAnsi="宋体"/>
                <w:color w:val="000000"/>
                <w:sz w:val="18"/>
                <w:szCs w:val="18"/>
                <w:highlight w:val="none"/>
              </w:rPr>
            </w:pPr>
          </w:p>
        </w:tc>
        <w:tc>
          <w:tcPr>
            <w:tcW w:w="1373" w:type="dxa"/>
            <w:shd w:val="clear" w:color="auto" w:fill="auto"/>
            <w:vAlign w:val="center"/>
          </w:tcPr>
          <w:p>
            <w:pPr>
              <w:jc w:val="right"/>
              <w:rPr>
                <w:rFonts w:hint="default" w:ascii="宋体" w:hAnsi="宋体"/>
                <w:color w:val="000000"/>
                <w:sz w:val="18"/>
                <w:szCs w:val="18"/>
                <w:highlight w:val="none"/>
              </w:rPr>
            </w:pPr>
          </w:p>
        </w:tc>
        <w:tc>
          <w:tcPr>
            <w:tcW w:w="1373" w:type="dxa"/>
            <w:shd w:val="clear" w:color="auto" w:fill="auto"/>
            <w:vAlign w:val="center"/>
          </w:tcPr>
          <w:p>
            <w:pPr>
              <w:jc w:val="right"/>
              <w:rPr>
                <w:rFonts w:hint="default" w:ascii="宋体" w:hAnsi="宋体"/>
                <w:color w:val="000000"/>
                <w:sz w:val="18"/>
                <w:szCs w:val="18"/>
                <w:highlight w:val="none"/>
              </w:rPr>
            </w:pPr>
          </w:p>
        </w:tc>
        <w:tc>
          <w:tcPr>
            <w:tcW w:w="1403"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jc w:val="center"/>
        </w:trPr>
        <w:tc>
          <w:tcPr>
            <w:tcW w:w="4191" w:type="dxa"/>
            <w:shd w:val="clear" w:color="auto" w:fill="auto"/>
            <w:vAlign w:val="center"/>
          </w:tcPr>
          <w:p>
            <w:pPr>
              <w:jc w:val="center"/>
              <w:rPr>
                <w:rFonts w:hint="default" w:ascii="宋体" w:hAnsi="宋体"/>
                <w:color w:val="000000"/>
                <w:sz w:val="18"/>
                <w:szCs w:val="18"/>
                <w:highlight w:val="none"/>
              </w:rPr>
            </w:pPr>
            <w:r>
              <w:rPr>
                <w:rFonts w:hint="default" w:ascii="宋体" w:hAnsi="宋体"/>
                <w:kern w:val="0"/>
                <w:sz w:val="18"/>
                <w:szCs w:val="18"/>
                <w:highlight w:val="none"/>
              </w:rPr>
              <w:t>公务接待费</w:t>
            </w:r>
          </w:p>
        </w:tc>
        <w:tc>
          <w:tcPr>
            <w:tcW w:w="1373" w:type="dxa"/>
            <w:shd w:val="clear" w:color="auto" w:fill="auto"/>
            <w:vAlign w:val="center"/>
          </w:tcPr>
          <w:p>
            <w:pPr>
              <w:jc w:val="right"/>
              <w:rPr>
                <w:rFonts w:hint="default" w:ascii="宋体" w:hAnsi="宋体"/>
                <w:color w:val="000000"/>
                <w:sz w:val="18"/>
                <w:szCs w:val="18"/>
                <w:highlight w:val="none"/>
              </w:rPr>
            </w:pPr>
          </w:p>
        </w:tc>
        <w:tc>
          <w:tcPr>
            <w:tcW w:w="1373" w:type="dxa"/>
            <w:shd w:val="clear" w:color="auto" w:fill="auto"/>
            <w:vAlign w:val="center"/>
          </w:tcPr>
          <w:p>
            <w:pPr>
              <w:jc w:val="right"/>
              <w:rPr>
                <w:rFonts w:hint="default" w:ascii="宋体" w:hAnsi="宋体"/>
                <w:color w:val="000000"/>
                <w:sz w:val="18"/>
                <w:szCs w:val="18"/>
                <w:highlight w:val="none"/>
              </w:rPr>
            </w:pPr>
          </w:p>
        </w:tc>
        <w:tc>
          <w:tcPr>
            <w:tcW w:w="1373" w:type="dxa"/>
            <w:shd w:val="clear" w:color="auto" w:fill="auto"/>
            <w:vAlign w:val="center"/>
          </w:tcPr>
          <w:p>
            <w:pPr>
              <w:jc w:val="right"/>
              <w:rPr>
                <w:rFonts w:hint="default" w:ascii="宋体" w:hAnsi="宋体"/>
                <w:color w:val="000000"/>
                <w:sz w:val="18"/>
                <w:szCs w:val="18"/>
                <w:highlight w:val="none"/>
              </w:rPr>
            </w:pPr>
          </w:p>
        </w:tc>
        <w:tc>
          <w:tcPr>
            <w:tcW w:w="1403"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jc w:val="center"/>
        </w:trPr>
        <w:tc>
          <w:tcPr>
            <w:tcW w:w="4191" w:type="dxa"/>
            <w:shd w:val="clear" w:color="auto" w:fill="auto"/>
            <w:vAlign w:val="center"/>
          </w:tcPr>
          <w:p>
            <w:pPr>
              <w:jc w:val="center"/>
              <w:rPr>
                <w:rFonts w:hint="default" w:ascii="宋体" w:hAnsi="宋体"/>
                <w:color w:val="000000"/>
                <w:sz w:val="18"/>
                <w:szCs w:val="18"/>
                <w:highlight w:val="none"/>
              </w:rPr>
            </w:pPr>
            <w:r>
              <w:rPr>
                <w:rFonts w:hint="default" w:ascii="宋体" w:hAnsi="宋体"/>
                <w:b/>
                <w:kern w:val="0"/>
                <w:sz w:val="18"/>
                <w:szCs w:val="18"/>
                <w:highlight w:val="none"/>
              </w:rPr>
              <w:t>公务用车购置及运行费（小计）</w:t>
            </w:r>
          </w:p>
        </w:tc>
        <w:tc>
          <w:tcPr>
            <w:tcW w:w="1373" w:type="dxa"/>
            <w:shd w:val="clear" w:color="auto" w:fill="auto"/>
            <w:vAlign w:val="center"/>
          </w:tcPr>
          <w:p>
            <w:pPr>
              <w:jc w:val="right"/>
              <w:rPr>
                <w:rFonts w:hint="default" w:ascii="宋体" w:hAnsi="宋体"/>
                <w:color w:val="000000"/>
                <w:sz w:val="18"/>
                <w:szCs w:val="18"/>
                <w:highlight w:val="none"/>
              </w:rPr>
            </w:pPr>
          </w:p>
        </w:tc>
        <w:tc>
          <w:tcPr>
            <w:tcW w:w="1373" w:type="dxa"/>
            <w:shd w:val="clear" w:color="auto" w:fill="auto"/>
            <w:vAlign w:val="center"/>
          </w:tcPr>
          <w:p>
            <w:pPr>
              <w:jc w:val="right"/>
              <w:rPr>
                <w:rFonts w:hint="default" w:ascii="宋体" w:hAnsi="宋体"/>
                <w:color w:val="000000"/>
                <w:sz w:val="18"/>
                <w:szCs w:val="18"/>
                <w:highlight w:val="none"/>
              </w:rPr>
            </w:pPr>
          </w:p>
        </w:tc>
        <w:tc>
          <w:tcPr>
            <w:tcW w:w="1373" w:type="dxa"/>
            <w:shd w:val="clear" w:color="auto" w:fill="auto"/>
            <w:vAlign w:val="center"/>
          </w:tcPr>
          <w:p>
            <w:pPr>
              <w:jc w:val="right"/>
              <w:rPr>
                <w:rFonts w:hint="default" w:ascii="宋体" w:hAnsi="宋体"/>
                <w:color w:val="000000"/>
                <w:sz w:val="18"/>
                <w:szCs w:val="18"/>
                <w:highlight w:val="none"/>
              </w:rPr>
            </w:pPr>
          </w:p>
        </w:tc>
        <w:tc>
          <w:tcPr>
            <w:tcW w:w="1403"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jc w:val="center"/>
        </w:trPr>
        <w:tc>
          <w:tcPr>
            <w:tcW w:w="4191" w:type="dxa"/>
            <w:shd w:val="clear" w:color="auto" w:fill="auto"/>
            <w:vAlign w:val="center"/>
          </w:tcPr>
          <w:p>
            <w:pPr>
              <w:jc w:val="center"/>
              <w:rPr>
                <w:rFonts w:hint="default" w:ascii="宋体" w:hAnsi="宋体"/>
                <w:color w:val="000000"/>
                <w:sz w:val="18"/>
                <w:szCs w:val="18"/>
                <w:highlight w:val="none"/>
              </w:rPr>
            </w:pPr>
            <w:r>
              <w:rPr>
                <w:rFonts w:hint="default" w:ascii="宋体" w:hAnsi="宋体"/>
                <w:kern w:val="0"/>
                <w:sz w:val="18"/>
                <w:szCs w:val="18"/>
                <w:highlight w:val="none"/>
              </w:rPr>
              <w:t>其中：公务用车购置费</w:t>
            </w:r>
          </w:p>
        </w:tc>
        <w:tc>
          <w:tcPr>
            <w:tcW w:w="1373" w:type="dxa"/>
            <w:shd w:val="clear" w:color="auto" w:fill="auto"/>
            <w:vAlign w:val="center"/>
          </w:tcPr>
          <w:p>
            <w:pPr>
              <w:jc w:val="right"/>
              <w:rPr>
                <w:rFonts w:hint="default" w:ascii="宋体" w:hAnsi="宋体"/>
                <w:color w:val="000000"/>
                <w:sz w:val="18"/>
                <w:szCs w:val="18"/>
                <w:highlight w:val="none"/>
              </w:rPr>
            </w:pPr>
          </w:p>
        </w:tc>
        <w:tc>
          <w:tcPr>
            <w:tcW w:w="1373" w:type="dxa"/>
            <w:shd w:val="clear" w:color="auto" w:fill="auto"/>
            <w:vAlign w:val="center"/>
          </w:tcPr>
          <w:p>
            <w:pPr>
              <w:jc w:val="right"/>
              <w:rPr>
                <w:rFonts w:hint="default" w:ascii="宋体" w:hAnsi="宋体"/>
                <w:color w:val="000000"/>
                <w:sz w:val="18"/>
                <w:szCs w:val="18"/>
                <w:highlight w:val="none"/>
              </w:rPr>
            </w:pPr>
          </w:p>
        </w:tc>
        <w:tc>
          <w:tcPr>
            <w:tcW w:w="1373" w:type="dxa"/>
            <w:shd w:val="clear" w:color="auto" w:fill="auto"/>
            <w:vAlign w:val="center"/>
          </w:tcPr>
          <w:p>
            <w:pPr>
              <w:jc w:val="right"/>
              <w:rPr>
                <w:rFonts w:hint="default" w:ascii="宋体" w:hAnsi="宋体"/>
                <w:color w:val="000000"/>
                <w:sz w:val="18"/>
                <w:szCs w:val="18"/>
                <w:highlight w:val="none"/>
              </w:rPr>
            </w:pPr>
          </w:p>
        </w:tc>
        <w:tc>
          <w:tcPr>
            <w:tcW w:w="1403"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jc w:val="center"/>
        </w:trPr>
        <w:tc>
          <w:tcPr>
            <w:tcW w:w="4191" w:type="dxa"/>
            <w:shd w:val="clear" w:color="auto" w:fill="auto"/>
            <w:vAlign w:val="center"/>
          </w:tcPr>
          <w:p>
            <w:pPr>
              <w:jc w:val="center"/>
              <w:rPr>
                <w:rFonts w:hint="default" w:ascii="宋体" w:hAnsi="宋体"/>
                <w:color w:val="000000"/>
                <w:sz w:val="18"/>
                <w:szCs w:val="18"/>
                <w:highlight w:val="none"/>
              </w:rPr>
            </w:pPr>
            <w:r>
              <w:rPr>
                <w:rFonts w:hint="default" w:ascii="宋体" w:hAnsi="宋体"/>
                <w:kern w:val="0"/>
                <w:sz w:val="18"/>
                <w:szCs w:val="18"/>
                <w:highlight w:val="none"/>
              </w:rPr>
              <w:t xml:space="preserve">      公务用车运行费</w:t>
            </w:r>
          </w:p>
        </w:tc>
        <w:tc>
          <w:tcPr>
            <w:tcW w:w="1373" w:type="dxa"/>
            <w:shd w:val="clear" w:color="auto" w:fill="auto"/>
            <w:vAlign w:val="center"/>
          </w:tcPr>
          <w:p>
            <w:pPr>
              <w:jc w:val="right"/>
              <w:rPr>
                <w:rFonts w:hint="default" w:ascii="宋体" w:hAnsi="宋体"/>
                <w:color w:val="000000"/>
                <w:sz w:val="18"/>
                <w:szCs w:val="18"/>
                <w:highlight w:val="none"/>
              </w:rPr>
            </w:pPr>
          </w:p>
        </w:tc>
        <w:tc>
          <w:tcPr>
            <w:tcW w:w="1373" w:type="dxa"/>
            <w:shd w:val="clear" w:color="auto" w:fill="auto"/>
            <w:vAlign w:val="center"/>
          </w:tcPr>
          <w:p>
            <w:pPr>
              <w:jc w:val="right"/>
              <w:rPr>
                <w:rFonts w:hint="default" w:ascii="宋体" w:hAnsi="宋体"/>
                <w:color w:val="000000"/>
                <w:sz w:val="18"/>
                <w:szCs w:val="18"/>
                <w:highlight w:val="none"/>
              </w:rPr>
            </w:pPr>
          </w:p>
        </w:tc>
        <w:tc>
          <w:tcPr>
            <w:tcW w:w="1373" w:type="dxa"/>
            <w:shd w:val="clear" w:color="auto" w:fill="auto"/>
            <w:vAlign w:val="center"/>
          </w:tcPr>
          <w:p>
            <w:pPr>
              <w:jc w:val="right"/>
              <w:rPr>
                <w:rFonts w:hint="default" w:ascii="宋体" w:hAnsi="宋体"/>
                <w:color w:val="000000"/>
                <w:sz w:val="18"/>
                <w:szCs w:val="18"/>
                <w:highlight w:val="none"/>
              </w:rPr>
            </w:pPr>
          </w:p>
        </w:tc>
        <w:tc>
          <w:tcPr>
            <w:tcW w:w="1403" w:type="dxa"/>
            <w:shd w:val="clear" w:color="auto" w:fill="auto"/>
            <w:vAlign w:val="center"/>
          </w:tcPr>
          <w:p>
            <w:pPr>
              <w:jc w:val="right"/>
              <w:rPr>
                <w:rFonts w:hint="default" w:ascii="宋体" w:hAnsi="宋体"/>
                <w:color w:val="000000"/>
                <w:sz w:val="18"/>
                <w:szCs w:val="18"/>
                <w:highlight w:val="none"/>
              </w:rPr>
            </w:pPr>
          </w:p>
        </w:tc>
      </w:tr>
    </w:tbl>
    <w:p>
      <w:pPr>
        <w:widowControl/>
        <w:jc w:val="left"/>
        <w:rPr>
          <w:rFonts w:hint="default" w:ascii="仿宋" w:eastAsia="仿宋"/>
          <w:b/>
          <w:color w:val="000000"/>
          <w:szCs w:val="21"/>
          <w:highlight w:val="none"/>
        </w:rPr>
      </w:pPr>
      <w:r>
        <w:rPr>
          <w:rFonts w:hint="eastAsia" w:ascii="仿宋" w:eastAsia="仿宋"/>
          <w:b/>
          <w:color w:val="000000"/>
          <w:szCs w:val="21"/>
          <w:highlight w:val="none"/>
        </w:rPr>
        <w:t>皮山县木奎拉乡卫生院2025年没有使用财政拨款安排“三公”经费支出，财政拨款“三公”经费支出情况表为空表。</w:t>
      </w:r>
    </w:p>
    <w:p>
      <w:pPr>
        <w:widowControl/>
        <w:jc w:val="left"/>
        <w:rPr>
          <w:rFonts w:hint="default" w:ascii="仿宋" w:eastAsia="仿宋"/>
          <w:b/>
          <w:color w:val="000000"/>
          <w:szCs w:val="21"/>
          <w:highlight w:val="none"/>
        </w:rPr>
        <w:sectPr>
          <w:pgSz w:w="11906" w:h="16838"/>
          <w:pgMar w:top="1134" w:right="1134" w:bottom="1134" w:left="1134" w:header="851" w:footer="992" w:gutter="0"/>
          <w:cols w:space="425" w:num="1"/>
          <w:docGrid w:type="lines" w:linePitch="312" w:charSpace="0"/>
        </w:sectPr>
      </w:pPr>
    </w:p>
    <w:p>
      <w:pPr>
        <w:rPr>
          <w:highlight w:val="none"/>
        </w:rPr>
      </w:pPr>
      <w:r>
        <w:rPr>
          <w:rFonts w:hint="eastAsia" w:ascii="宋体" w:hAnsi="宋体"/>
          <w:color w:val="000000"/>
          <w:sz w:val="18"/>
          <w:szCs w:val="18"/>
          <w:highlight w:val="none"/>
        </w:rPr>
        <w:t>表11</w:t>
      </w:r>
    </w:p>
    <w:p>
      <w:pPr>
        <w:jc w:val="center"/>
        <w:rPr>
          <w:rFonts w:hint="default" w:ascii="仿宋" w:hAnsi="宋体" w:eastAsia="仿宋"/>
          <w:b/>
          <w:color w:val="000000"/>
          <w:sz w:val="28"/>
          <w:szCs w:val="28"/>
          <w:highlight w:val="none"/>
        </w:rPr>
      </w:pPr>
      <w:r>
        <w:rPr>
          <w:rFonts w:hint="eastAsia" w:ascii="仿宋" w:hAnsi="宋体" w:eastAsia="仿宋"/>
          <w:b/>
          <w:color w:val="000000"/>
          <w:sz w:val="28"/>
          <w:szCs w:val="28"/>
          <w:highlight w:val="none"/>
        </w:rPr>
        <w:t>上年结转结余情况明细表</w:t>
      </w:r>
    </w:p>
    <w:tbl>
      <w:tblPr>
        <w:tblStyle w:val="7"/>
        <w:tblW w:w="146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3402"/>
        <w:gridCol w:w="1247"/>
        <w:gridCol w:w="1247"/>
        <w:gridCol w:w="1247"/>
        <w:gridCol w:w="1247"/>
        <w:gridCol w:w="1247"/>
        <w:gridCol w:w="740"/>
        <w:gridCol w:w="507"/>
        <w:gridCol w:w="1247"/>
        <w:gridCol w:w="1247"/>
        <w:gridCol w:w="1247"/>
        <w:gridCol w:w="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52" w:hRule="atLeast"/>
          <w:tblHeader/>
        </w:trPr>
        <w:tc>
          <w:tcPr>
            <w:tcW w:w="10377" w:type="dxa"/>
            <w:gridSpan w:val="7"/>
            <w:tcBorders>
              <w:top w:val="nil"/>
              <w:left w:val="nil"/>
              <w:right w:val="nil"/>
            </w:tcBorders>
            <w:shd w:val="clear" w:color="auto" w:fill="auto"/>
            <w:vAlign w:val="center"/>
          </w:tcPr>
          <w:p>
            <w:pPr>
              <w:jc w:val="left"/>
              <w:rPr>
                <w:rFonts w:hint="eastAsia"/>
                <w:color w:val="000000"/>
                <w:sz w:val="18"/>
                <w:szCs w:val="18"/>
                <w:highlight w:val="none"/>
              </w:rPr>
            </w:pPr>
            <w:r>
              <w:rPr>
                <w:rFonts w:hint="eastAsia"/>
                <w:color w:val="000000"/>
                <w:sz w:val="18"/>
                <w:szCs w:val="18"/>
                <w:highlight w:val="none"/>
              </w:rPr>
              <w:t>编制部门：皮山县木奎拉乡卫生院</w:t>
            </w:r>
          </w:p>
        </w:tc>
        <w:tc>
          <w:tcPr>
            <w:tcW w:w="4254" w:type="dxa"/>
            <w:gridSpan w:val="5"/>
            <w:tcBorders>
              <w:top w:val="nil"/>
              <w:left w:val="nil"/>
              <w:right w:val="nil"/>
            </w:tcBorders>
            <w:shd w:val="clear" w:color="auto" w:fill="auto"/>
          </w:tcPr>
          <w:p>
            <w:pPr>
              <w:jc w:val="right"/>
              <w:rPr>
                <w:rFonts w:hint="eastAsia"/>
                <w:color w:val="000000"/>
                <w:sz w:val="18"/>
                <w:szCs w:val="18"/>
                <w:highlight w:val="none"/>
              </w:rPr>
            </w:pPr>
            <w:r>
              <w:rPr>
                <w:rFonts w:hint="eastAsia"/>
                <w:color w:val="000000"/>
                <w:sz w:val="18"/>
                <w:szCs w:val="18"/>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20" w:hRule="atLeast"/>
          <w:tblHeader/>
        </w:trPr>
        <w:tc>
          <w:tcPr>
            <w:tcW w:w="3402" w:type="dxa"/>
            <w:vMerge w:val="restart"/>
            <w:shd w:val="clear" w:color="auto" w:fill="auto"/>
            <w:vAlign w:val="center"/>
          </w:tcPr>
          <w:p>
            <w:pPr>
              <w:jc w:val="center"/>
              <w:rPr>
                <w:sz w:val="18"/>
                <w:szCs w:val="18"/>
                <w:highlight w:val="none"/>
              </w:rPr>
            </w:pPr>
            <w:r>
              <w:rPr>
                <w:rFonts w:hint="eastAsia"/>
                <w:sz w:val="18"/>
                <w:szCs w:val="18"/>
                <w:highlight w:val="none"/>
              </w:rPr>
              <w:t>项目</w:t>
            </w:r>
          </w:p>
        </w:tc>
        <w:tc>
          <w:tcPr>
            <w:tcW w:w="1247" w:type="dxa"/>
            <w:vMerge w:val="restart"/>
            <w:shd w:val="clear" w:color="auto" w:fill="auto"/>
            <w:vAlign w:val="center"/>
          </w:tcPr>
          <w:p>
            <w:pPr>
              <w:jc w:val="center"/>
              <w:rPr>
                <w:sz w:val="18"/>
                <w:szCs w:val="18"/>
                <w:highlight w:val="none"/>
              </w:rPr>
            </w:pPr>
            <w:r>
              <w:rPr>
                <w:rFonts w:hint="eastAsia"/>
                <w:sz w:val="18"/>
                <w:szCs w:val="18"/>
                <w:highlight w:val="none"/>
              </w:rPr>
              <w:t>合计</w:t>
            </w:r>
          </w:p>
        </w:tc>
        <w:tc>
          <w:tcPr>
            <w:tcW w:w="4988" w:type="dxa"/>
            <w:gridSpan w:val="4"/>
            <w:shd w:val="clear" w:color="auto" w:fill="auto"/>
            <w:vAlign w:val="center"/>
          </w:tcPr>
          <w:p>
            <w:pPr>
              <w:jc w:val="center"/>
              <w:rPr>
                <w:rFonts w:hint="eastAsia"/>
                <w:sz w:val="18"/>
                <w:szCs w:val="18"/>
                <w:highlight w:val="none"/>
              </w:rPr>
            </w:pPr>
            <w:r>
              <w:rPr>
                <w:rFonts w:hint="eastAsia"/>
                <w:sz w:val="18"/>
                <w:szCs w:val="18"/>
                <w:highlight w:val="none"/>
              </w:rPr>
              <w:t>财政拨款</w:t>
            </w:r>
          </w:p>
        </w:tc>
        <w:tc>
          <w:tcPr>
            <w:tcW w:w="4988" w:type="dxa"/>
            <w:gridSpan w:val="5"/>
            <w:shd w:val="clear" w:color="auto" w:fill="auto"/>
            <w:vAlign w:val="center"/>
          </w:tcPr>
          <w:p>
            <w:pPr>
              <w:jc w:val="center"/>
              <w:rPr>
                <w:rFonts w:hint="eastAsia"/>
                <w:sz w:val="18"/>
                <w:szCs w:val="18"/>
                <w:highlight w:val="none"/>
              </w:rPr>
            </w:pPr>
            <w:r>
              <w:rPr>
                <w:rFonts w:hint="eastAsia"/>
                <w:sz w:val="18"/>
                <w:szCs w:val="18"/>
                <w:highlight w:val="none"/>
              </w:rPr>
              <w:t>非财政拨款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77" w:hRule="atLeast"/>
          <w:tblHeader/>
        </w:trPr>
        <w:tc>
          <w:tcPr>
            <w:tcW w:w="3402" w:type="dxa"/>
            <w:vMerge w:val="continue"/>
            <w:shd w:val="clear" w:color="auto" w:fill="auto"/>
            <w:vAlign w:val="center"/>
          </w:tcPr>
          <w:p>
            <w:pPr>
              <w:jc w:val="center"/>
              <w:rPr>
                <w:sz w:val="18"/>
                <w:szCs w:val="18"/>
                <w:highlight w:val="none"/>
              </w:rPr>
            </w:pPr>
          </w:p>
        </w:tc>
        <w:tc>
          <w:tcPr>
            <w:tcW w:w="1247" w:type="dxa"/>
            <w:vMerge w:val="continue"/>
            <w:shd w:val="clear" w:color="auto" w:fill="auto"/>
            <w:vAlign w:val="center"/>
          </w:tcPr>
          <w:p>
            <w:pPr>
              <w:jc w:val="center"/>
              <w:rPr>
                <w:sz w:val="18"/>
                <w:szCs w:val="18"/>
                <w:highlight w:val="none"/>
              </w:rPr>
            </w:pPr>
          </w:p>
        </w:tc>
        <w:tc>
          <w:tcPr>
            <w:tcW w:w="1247" w:type="dxa"/>
            <w:vMerge w:val="restart"/>
            <w:shd w:val="clear" w:color="auto" w:fill="auto"/>
            <w:vAlign w:val="center"/>
          </w:tcPr>
          <w:p>
            <w:pPr>
              <w:jc w:val="center"/>
              <w:rPr>
                <w:sz w:val="18"/>
                <w:szCs w:val="18"/>
                <w:highlight w:val="none"/>
              </w:rPr>
            </w:pPr>
            <w:r>
              <w:rPr>
                <w:rFonts w:hint="eastAsia"/>
                <w:sz w:val="18"/>
                <w:szCs w:val="18"/>
                <w:highlight w:val="none"/>
              </w:rPr>
              <w:t>小计</w:t>
            </w:r>
          </w:p>
        </w:tc>
        <w:tc>
          <w:tcPr>
            <w:tcW w:w="2494" w:type="dxa"/>
            <w:gridSpan w:val="2"/>
            <w:shd w:val="clear" w:color="auto" w:fill="auto"/>
            <w:vAlign w:val="center"/>
          </w:tcPr>
          <w:p>
            <w:pPr>
              <w:jc w:val="center"/>
              <w:rPr>
                <w:sz w:val="18"/>
                <w:szCs w:val="18"/>
                <w:highlight w:val="none"/>
              </w:rPr>
            </w:pPr>
            <w:r>
              <w:rPr>
                <w:rFonts w:hint="eastAsia"/>
                <w:sz w:val="18"/>
                <w:szCs w:val="18"/>
                <w:highlight w:val="none"/>
              </w:rPr>
              <w:t>基本支出</w:t>
            </w:r>
          </w:p>
        </w:tc>
        <w:tc>
          <w:tcPr>
            <w:tcW w:w="1247" w:type="dxa"/>
            <w:vMerge w:val="restart"/>
            <w:shd w:val="clear" w:color="auto" w:fill="auto"/>
            <w:vAlign w:val="center"/>
          </w:tcPr>
          <w:p>
            <w:pPr>
              <w:jc w:val="center"/>
              <w:rPr>
                <w:sz w:val="18"/>
                <w:szCs w:val="18"/>
                <w:highlight w:val="none"/>
              </w:rPr>
            </w:pPr>
            <w:r>
              <w:rPr>
                <w:rFonts w:hint="eastAsia"/>
                <w:sz w:val="18"/>
                <w:szCs w:val="18"/>
                <w:highlight w:val="none"/>
              </w:rPr>
              <w:t>项目支出</w:t>
            </w:r>
          </w:p>
        </w:tc>
        <w:tc>
          <w:tcPr>
            <w:tcW w:w="1247" w:type="dxa"/>
            <w:gridSpan w:val="2"/>
            <w:vMerge w:val="restart"/>
            <w:shd w:val="clear" w:color="auto" w:fill="auto"/>
            <w:vAlign w:val="center"/>
          </w:tcPr>
          <w:p>
            <w:pPr>
              <w:jc w:val="center"/>
              <w:rPr>
                <w:sz w:val="18"/>
                <w:szCs w:val="18"/>
                <w:highlight w:val="none"/>
              </w:rPr>
            </w:pPr>
            <w:r>
              <w:rPr>
                <w:rFonts w:hint="eastAsia"/>
                <w:sz w:val="18"/>
                <w:szCs w:val="18"/>
                <w:highlight w:val="none"/>
              </w:rPr>
              <w:t>小计</w:t>
            </w:r>
          </w:p>
        </w:tc>
        <w:tc>
          <w:tcPr>
            <w:tcW w:w="2494" w:type="dxa"/>
            <w:gridSpan w:val="2"/>
            <w:shd w:val="clear" w:color="auto" w:fill="auto"/>
            <w:vAlign w:val="center"/>
          </w:tcPr>
          <w:p>
            <w:pPr>
              <w:jc w:val="center"/>
              <w:rPr>
                <w:sz w:val="18"/>
                <w:szCs w:val="18"/>
                <w:highlight w:val="none"/>
              </w:rPr>
            </w:pPr>
            <w:r>
              <w:rPr>
                <w:rFonts w:hint="eastAsia"/>
                <w:sz w:val="18"/>
                <w:szCs w:val="18"/>
                <w:highlight w:val="none"/>
              </w:rPr>
              <w:t>基本支出</w:t>
            </w:r>
          </w:p>
        </w:tc>
        <w:tc>
          <w:tcPr>
            <w:tcW w:w="1247" w:type="dxa"/>
            <w:vMerge w:val="restart"/>
            <w:shd w:val="clear" w:color="auto" w:fill="auto"/>
            <w:vAlign w:val="center"/>
          </w:tcPr>
          <w:p>
            <w:pPr>
              <w:jc w:val="center"/>
              <w:rPr>
                <w:sz w:val="18"/>
                <w:szCs w:val="18"/>
                <w:highlight w:val="none"/>
              </w:rPr>
            </w:pPr>
            <w:r>
              <w:rPr>
                <w:rFonts w:hint="eastAsia"/>
                <w:sz w:val="18"/>
                <w:szCs w:val="18"/>
                <w:highlight w:val="none"/>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77" w:hRule="atLeast"/>
          <w:tblHeader/>
        </w:trPr>
        <w:tc>
          <w:tcPr>
            <w:tcW w:w="3402" w:type="dxa"/>
            <w:vMerge w:val="continue"/>
            <w:shd w:val="clear" w:color="auto" w:fill="auto"/>
            <w:vAlign w:val="center"/>
          </w:tcPr>
          <w:p>
            <w:pPr>
              <w:jc w:val="center"/>
              <w:rPr>
                <w:sz w:val="18"/>
                <w:szCs w:val="18"/>
                <w:highlight w:val="none"/>
              </w:rPr>
            </w:pPr>
          </w:p>
        </w:tc>
        <w:tc>
          <w:tcPr>
            <w:tcW w:w="1247" w:type="dxa"/>
            <w:vMerge w:val="continue"/>
            <w:shd w:val="clear" w:color="auto" w:fill="auto"/>
            <w:vAlign w:val="center"/>
          </w:tcPr>
          <w:p>
            <w:pPr>
              <w:jc w:val="center"/>
              <w:rPr>
                <w:sz w:val="18"/>
                <w:szCs w:val="18"/>
                <w:highlight w:val="none"/>
              </w:rPr>
            </w:pPr>
          </w:p>
        </w:tc>
        <w:tc>
          <w:tcPr>
            <w:tcW w:w="1247" w:type="dxa"/>
            <w:vMerge w:val="continue"/>
            <w:shd w:val="clear" w:color="auto" w:fill="auto"/>
            <w:vAlign w:val="center"/>
          </w:tcPr>
          <w:p>
            <w:pPr>
              <w:jc w:val="center"/>
              <w:rPr>
                <w:sz w:val="18"/>
                <w:szCs w:val="18"/>
                <w:highlight w:val="none"/>
              </w:rPr>
            </w:pPr>
          </w:p>
        </w:tc>
        <w:tc>
          <w:tcPr>
            <w:tcW w:w="1247" w:type="dxa"/>
            <w:shd w:val="clear" w:color="auto" w:fill="auto"/>
            <w:vAlign w:val="center"/>
          </w:tcPr>
          <w:p>
            <w:pPr>
              <w:jc w:val="center"/>
              <w:rPr>
                <w:sz w:val="18"/>
                <w:szCs w:val="18"/>
                <w:highlight w:val="none"/>
              </w:rPr>
            </w:pPr>
            <w:r>
              <w:rPr>
                <w:rFonts w:hint="eastAsia"/>
                <w:sz w:val="18"/>
                <w:szCs w:val="18"/>
                <w:highlight w:val="none"/>
              </w:rPr>
              <w:t>人员经费</w:t>
            </w:r>
          </w:p>
        </w:tc>
        <w:tc>
          <w:tcPr>
            <w:tcW w:w="1247" w:type="dxa"/>
            <w:shd w:val="clear" w:color="auto" w:fill="auto"/>
            <w:vAlign w:val="center"/>
          </w:tcPr>
          <w:p>
            <w:pPr>
              <w:jc w:val="center"/>
              <w:rPr>
                <w:sz w:val="18"/>
                <w:szCs w:val="18"/>
                <w:highlight w:val="none"/>
              </w:rPr>
            </w:pPr>
            <w:r>
              <w:rPr>
                <w:rFonts w:hint="eastAsia"/>
                <w:sz w:val="18"/>
                <w:szCs w:val="18"/>
                <w:highlight w:val="none"/>
              </w:rPr>
              <w:t>公用经费</w:t>
            </w:r>
          </w:p>
        </w:tc>
        <w:tc>
          <w:tcPr>
            <w:tcW w:w="1247" w:type="dxa"/>
            <w:vMerge w:val="continue"/>
            <w:shd w:val="clear" w:color="auto" w:fill="auto"/>
            <w:vAlign w:val="center"/>
          </w:tcPr>
          <w:p>
            <w:pPr>
              <w:jc w:val="center"/>
              <w:rPr>
                <w:sz w:val="18"/>
                <w:szCs w:val="18"/>
                <w:highlight w:val="none"/>
              </w:rPr>
            </w:pPr>
          </w:p>
        </w:tc>
        <w:tc>
          <w:tcPr>
            <w:tcW w:w="1247" w:type="dxa"/>
            <w:gridSpan w:val="2"/>
            <w:vMerge w:val="continue"/>
            <w:shd w:val="clear" w:color="auto" w:fill="auto"/>
            <w:vAlign w:val="center"/>
          </w:tcPr>
          <w:p>
            <w:pPr>
              <w:jc w:val="center"/>
              <w:rPr>
                <w:sz w:val="18"/>
                <w:szCs w:val="18"/>
                <w:highlight w:val="none"/>
              </w:rPr>
            </w:pPr>
          </w:p>
        </w:tc>
        <w:tc>
          <w:tcPr>
            <w:tcW w:w="1247" w:type="dxa"/>
            <w:shd w:val="clear" w:color="auto" w:fill="auto"/>
            <w:vAlign w:val="center"/>
          </w:tcPr>
          <w:p>
            <w:pPr>
              <w:jc w:val="center"/>
              <w:rPr>
                <w:sz w:val="18"/>
                <w:szCs w:val="18"/>
                <w:highlight w:val="none"/>
              </w:rPr>
            </w:pPr>
            <w:r>
              <w:rPr>
                <w:rFonts w:hint="eastAsia"/>
                <w:sz w:val="18"/>
                <w:szCs w:val="18"/>
                <w:highlight w:val="none"/>
              </w:rPr>
              <w:t>人员经费</w:t>
            </w:r>
          </w:p>
        </w:tc>
        <w:tc>
          <w:tcPr>
            <w:tcW w:w="1247" w:type="dxa"/>
            <w:shd w:val="clear" w:color="auto" w:fill="auto"/>
            <w:vAlign w:val="center"/>
          </w:tcPr>
          <w:p>
            <w:pPr>
              <w:jc w:val="center"/>
              <w:rPr>
                <w:sz w:val="18"/>
                <w:szCs w:val="18"/>
                <w:highlight w:val="none"/>
              </w:rPr>
            </w:pPr>
            <w:r>
              <w:rPr>
                <w:rFonts w:hint="eastAsia"/>
                <w:sz w:val="18"/>
                <w:szCs w:val="18"/>
                <w:highlight w:val="none"/>
              </w:rPr>
              <w:t>公用经费</w:t>
            </w:r>
          </w:p>
        </w:tc>
        <w:tc>
          <w:tcPr>
            <w:tcW w:w="1247" w:type="dxa"/>
            <w:vMerge w:val="continue"/>
            <w:shd w:val="clear" w:color="auto" w:fill="auto"/>
            <w:vAlign w:val="center"/>
          </w:tcPr>
          <w:p>
            <w:pPr>
              <w:jc w:val="center"/>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64" w:hRule="atLeast"/>
          <w:tblHeader/>
        </w:trPr>
        <w:tc>
          <w:tcPr>
            <w:tcW w:w="3402"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1247" w:type="dxa"/>
            <w:shd w:val="clear" w:color="auto" w:fill="auto"/>
            <w:vAlign w:val="center"/>
          </w:tcPr>
          <w:p>
            <w:pPr>
              <w:jc w:val="center"/>
              <w:rPr>
                <w:sz w:val="18"/>
                <w:szCs w:val="18"/>
                <w:highlight w:val="none"/>
              </w:rPr>
            </w:pPr>
            <w:r>
              <w:rPr>
                <w:rFonts w:hint="eastAsia"/>
                <w:sz w:val="18"/>
                <w:szCs w:val="18"/>
                <w:highlight w:val="none"/>
              </w:rPr>
              <w:t>1</w:t>
            </w:r>
          </w:p>
        </w:tc>
        <w:tc>
          <w:tcPr>
            <w:tcW w:w="1247" w:type="dxa"/>
            <w:shd w:val="clear" w:color="auto" w:fill="auto"/>
            <w:vAlign w:val="center"/>
          </w:tcPr>
          <w:p>
            <w:pPr>
              <w:jc w:val="center"/>
              <w:rPr>
                <w:rFonts w:hint="eastAsia"/>
                <w:sz w:val="18"/>
                <w:szCs w:val="18"/>
                <w:highlight w:val="none"/>
              </w:rPr>
            </w:pPr>
            <w:r>
              <w:rPr>
                <w:rFonts w:hint="eastAsia"/>
                <w:sz w:val="18"/>
                <w:szCs w:val="18"/>
                <w:highlight w:val="none"/>
              </w:rPr>
              <w:t>2</w:t>
            </w:r>
          </w:p>
        </w:tc>
        <w:tc>
          <w:tcPr>
            <w:tcW w:w="1247" w:type="dxa"/>
            <w:shd w:val="clear" w:color="auto" w:fill="auto"/>
            <w:vAlign w:val="center"/>
          </w:tcPr>
          <w:p>
            <w:pPr>
              <w:jc w:val="center"/>
              <w:rPr>
                <w:rFonts w:hint="eastAsia"/>
                <w:sz w:val="18"/>
                <w:szCs w:val="18"/>
                <w:highlight w:val="none"/>
              </w:rPr>
            </w:pPr>
            <w:r>
              <w:rPr>
                <w:rFonts w:hint="eastAsia"/>
                <w:sz w:val="18"/>
                <w:szCs w:val="18"/>
                <w:highlight w:val="none"/>
              </w:rPr>
              <w:t>3</w:t>
            </w:r>
          </w:p>
        </w:tc>
        <w:tc>
          <w:tcPr>
            <w:tcW w:w="1247" w:type="dxa"/>
            <w:shd w:val="clear" w:color="auto" w:fill="auto"/>
            <w:vAlign w:val="center"/>
          </w:tcPr>
          <w:p>
            <w:pPr>
              <w:jc w:val="center"/>
              <w:rPr>
                <w:rFonts w:hint="eastAsia"/>
                <w:sz w:val="18"/>
                <w:szCs w:val="18"/>
                <w:highlight w:val="none"/>
              </w:rPr>
            </w:pPr>
            <w:r>
              <w:rPr>
                <w:rFonts w:hint="eastAsia"/>
                <w:sz w:val="18"/>
                <w:szCs w:val="18"/>
                <w:highlight w:val="none"/>
              </w:rPr>
              <w:t>4</w:t>
            </w:r>
          </w:p>
        </w:tc>
        <w:tc>
          <w:tcPr>
            <w:tcW w:w="1247" w:type="dxa"/>
            <w:shd w:val="clear" w:color="auto" w:fill="auto"/>
            <w:vAlign w:val="center"/>
          </w:tcPr>
          <w:p>
            <w:pPr>
              <w:jc w:val="center"/>
              <w:rPr>
                <w:rFonts w:hint="eastAsia"/>
                <w:sz w:val="18"/>
                <w:szCs w:val="18"/>
                <w:highlight w:val="none"/>
              </w:rPr>
            </w:pPr>
            <w:r>
              <w:rPr>
                <w:rFonts w:hint="eastAsia"/>
                <w:sz w:val="18"/>
                <w:szCs w:val="18"/>
                <w:highlight w:val="none"/>
              </w:rPr>
              <w:t>5</w:t>
            </w:r>
          </w:p>
        </w:tc>
        <w:tc>
          <w:tcPr>
            <w:tcW w:w="1247" w:type="dxa"/>
            <w:gridSpan w:val="2"/>
            <w:shd w:val="clear" w:color="auto" w:fill="auto"/>
            <w:vAlign w:val="center"/>
          </w:tcPr>
          <w:p>
            <w:pPr>
              <w:jc w:val="center"/>
              <w:rPr>
                <w:rFonts w:hint="eastAsia"/>
                <w:sz w:val="18"/>
                <w:szCs w:val="18"/>
                <w:highlight w:val="none"/>
              </w:rPr>
            </w:pPr>
            <w:r>
              <w:rPr>
                <w:rFonts w:hint="eastAsia"/>
                <w:sz w:val="18"/>
                <w:szCs w:val="18"/>
                <w:highlight w:val="none"/>
              </w:rPr>
              <w:t>6</w:t>
            </w:r>
          </w:p>
        </w:tc>
        <w:tc>
          <w:tcPr>
            <w:tcW w:w="1247" w:type="dxa"/>
            <w:shd w:val="clear" w:color="auto" w:fill="auto"/>
            <w:vAlign w:val="center"/>
          </w:tcPr>
          <w:p>
            <w:pPr>
              <w:jc w:val="center"/>
              <w:rPr>
                <w:rFonts w:hint="eastAsia"/>
                <w:sz w:val="18"/>
                <w:szCs w:val="18"/>
                <w:highlight w:val="none"/>
              </w:rPr>
            </w:pPr>
            <w:r>
              <w:rPr>
                <w:rFonts w:hint="eastAsia"/>
                <w:sz w:val="18"/>
                <w:szCs w:val="18"/>
                <w:highlight w:val="none"/>
              </w:rPr>
              <w:t>7</w:t>
            </w:r>
          </w:p>
        </w:tc>
        <w:tc>
          <w:tcPr>
            <w:tcW w:w="1247" w:type="dxa"/>
            <w:shd w:val="clear" w:color="auto" w:fill="auto"/>
            <w:vAlign w:val="center"/>
          </w:tcPr>
          <w:p>
            <w:pPr>
              <w:jc w:val="center"/>
              <w:rPr>
                <w:rFonts w:hint="eastAsia"/>
                <w:sz w:val="18"/>
                <w:szCs w:val="18"/>
                <w:highlight w:val="none"/>
              </w:rPr>
            </w:pPr>
            <w:r>
              <w:rPr>
                <w:rFonts w:hint="eastAsia"/>
                <w:sz w:val="18"/>
                <w:szCs w:val="18"/>
                <w:highlight w:val="none"/>
              </w:rPr>
              <w:t>8</w:t>
            </w:r>
          </w:p>
        </w:tc>
        <w:tc>
          <w:tcPr>
            <w:tcW w:w="1247" w:type="dxa"/>
            <w:shd w:val="clear" w:color="auto" w:fill="auto"/>
            <w:vAlign w:val="center"/>
          </w:tcPr>
          <w:p>
            <w:pPr>
              <w:jc w:val="center"/>
              <w:rPr>
                <w:rFonts w:hint="eastAsia"/>
                <w:sz w:val="18"/>
                <w:szCs w:val="18"/>
                <w:highlight w:val="none"/>
              </w:rPr>
            </w:pPr>
            <w:r>
              <w:rPr>
                <w:rFonts w:hint="eastAsia"/>
                <w:sz w:val="18"/>
                <w:szCs w:val="18"/>
                <w:highlight w:val="none"/>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center"/>
              <w:rPr>
                <w:b/>
                <w:sz w:val="18"/>
                <w:szCs w:val="18"/>
                <w:highlight w:val="none"/>
              </w:rPr>
            </w:pPr>
            <w:r>
              <w:rPr>
                <w:rFonts w:hint="default" w:ascii="宋体" w:hAnsi="宋体"/>
                <w:b/>
                <w:kern w:val="0"/>
                <w:sz w:val="13"/>
                <w:szCs w:val="13"/>
                <w:highlight w:val="none"/>
              </w:rPr>
              <w:t>总计</w:t>
            </w:r>
          </w:p>
        </w:tc>
        <w:tc>
          <w:tcPr>
            <w:tcW w:w="1247" w:type="dxa"/>
            <w:shd w:val="clear" w:color="auto" w:fill="auto"/>
            <w:vAlign w:val="center"/>
          </w:tcPr>
          <w:p>
            <w:pPr>
              <w:ind w:right="-29" w:rightChars="-14"/>
              <w:jc w:val="right"/>
              <w:rPr>
                <w:b/>
                <w:sz w:val="18"/>
                <w:szCs w:val="18"/>
                <w:highlight w:val="none"/>
              </w:rPr>
            </w:pPr>
            <w:r>
              <w:rPr>
                <w:rFonts w:hint="default" w:ascii="宋体" w:hAnsi="宋体"/>
                <w:b/>
                <w:kern w:val="0"/>
                <w:sz w:val="13"/>
                <w:szCs w:val="13"/>
                <w:highlight w:val="none"/>
              </w:rPr>
              <w:t>92.14</w:t>
            </w:r>
          </w:p>
        </w:tc>
        <w:tc>
          <w:tcPr>
            <w:tcW w:w="1247" w:type="dxa"/>
            <w:shd w:val="clear" w:color="auto" w:fill="auto"/>
            <w:vAlign w:val="center"/>
          </w:tcPr>
          <w:p>
            <w:pPr>
              <w:ind w:right="-29" w:rightChars="-14"/>
              <w:jc w:val="right"/>
              <w:rPr>
                <w:b/>
                <w:sz w:val="18"/>
                <w:szCs w:val="18"/>
                <w:highlight w:val="none"/>
              </w:rPr>
            </w:pPr>
            <w:r>
              <w:rPr>
                <w:rFonts w:hint="default" w:ascii="宋体" w:hAnsi="宋体"/>
                <w:b/>
                <w:kern w:val="0"/>
                <w:sz w:val="13"/>
                <w:szCs w:val="13"/>
                <w:highlight w:val="none"/>
              </w:rPr>
              <w:t>92.14</w:t>
            </w:r>
          </w:p>
        </w:tc>
        <w:tc>
          <w:tcPr>
            <w:tcW w:w="1247" w:type="dxa"/>
            <w:shd w:val="clear" w:color="auto" w:fill="auto"/>
            <w:vAlign w:val="center"/>
          </w:tcPr>
          <w:p>
            <w:pPr>
              <w:ind w:right="-29" w:rightChars="-14"/>
              <w:jc w:val="right"/>
              <w:rPr>
                <w:b/>
                <w:sz w:val="18"/>
                <w:szCs w:val="18"/>
                <w:highlight w:val="none"/>
              </w:rPr>
            </w:pPr>
          </w:p>
        </w:tc>
        <w:tc>
          <w:tcPr>
            <w:tcW w:w="1247" w:type="dxa"/>
            <w:shd w:val="clear" w:color="auto" w:fill="auto"/>
            <w:vAlign w:val="center"/>
          </w:tcPr>
          <w:p>
            <w:pPr>
              <w:ind w:right="-29" w:rightChars="-14"/>
              <w:jc w:val="right"/>
              <w:rPr>
                <w:b/>
                <w:sz w:val="18"/>
                <w:szCs w:val="18"/>
                <w:highlight w:val="none"/>
              </w:rPr>
            </w:pPr>
          </w:p>
        </w:tc>
        <w:tc>
          <w:tcPr>
            <w:tcW w:w="1247" w:type="dxa"/>
            <w:shd w:val="clear" w:color="auto" w:fill="auto"/>
            <w:vAlign w:val="center"/>
          </w:tcPr>
          <w:p>
            <w:pPr>
              <w:ind w:right="-29" w:rightChars="-14"/>
              <w:jc w:val="right"/>
              <w:rPr>
                <w:b/>
                <w:sz w:val="18"/>
                <w:szCs w:val="18"/>
                <w:highlight w:val="none"/>
              </w:rPr>
            </w:pPr>
            <w:r>
              <w:rPr>
                <w:rFonts w:hint="default" w:ascii="宋体" w:hAnsi="宋体"/>
                <w:b/>
                <w:kern w:val="0"/>
                <w:sz w:val="13"/>
                <w:szCs w:val="13"/>
                <w:highlight w:val="none"/>
              </w:rPr>
              <w:t>92.14</w:t>
            </w:r>
          </w:p>
        </w:tc>
        <w:tc>
          <w:tcPr>
            <w:tcW w:w="1247" w:type="dxa"/>
            <w:gridSpan w:val="2"/>
            <w:shd w:val="clear" w:color="auto" w:fill="auto"/>
            <w:vAlign w:val="center"/>
          </w:tcPr>
          <w:p>
            <w:pPr>
              <w:ind w:right="-29" w:rightChars="-14"/>
              <w:jc w:val="right"/>
              <w:rPr>
                <w:b/>
                <w:sz w:val="18"/>
                <w:szCs w:val="18"/>
                <w:highlight w:val="none"/>
              </w:rPr>
            </w:pPr>
          </w:p>
        </w:tc>
        <w:tc>
          <w:tcPr>
            <w:tcW w:w="1247" w:type="dxa"/>
            <w:shd w:val="clear" w:color="auto" w:fill="auto"/>
            <w:vAlign w:val="center"/>
          </w:tcPr>
          <w:p>
            <w:pPr>
              <w:ind w:right="-29" w:rightChars="-14"/>
              <w:jc w:val="right"/>
              <w:rPr>
                <w:b/>
                <w:sz w:val="18"/>
                <w:szCs w:val="18"/>
                <w:highlight w:val="none"/>
              </w:rPr>
            </w:pPr>
          </w:p>
        </w:tc>
        <w:tc>
          <w:tcPr>
            <w:tcW w:w="1247" w:type="dxa"/>
            <w:shd w:val="clear" w:color="auto" w:fill="auto"/>
            <w:vAlign w:val="center"/>
          </w:tcPr>
          <w:p>
            <w:pPr>
              <w:ind w:right="-29" w:rightChars="-14"/>
              <w:jc w:val="right"/>
              <w:rPr>
                <w:b/>
                <w:sz w:val="18"/>
                <w:szCs w:val="18"/>
                <w:highlight w:val="none"/>
              </w:rPr>
            </w:pPr>
          </w:p>
        </w:tc>
        <w:tc>
          <w:tcPr>
            <w:tcW w:w="1247" w:type="dxa"/>
            <w:shd w:val="clear" w:color="auto" w:fill="auto"/>
            <w:vAlign w:val="center"/>
          </w:tcPr>
          <w:p>
            <w:pPr>
              <w:ind w:right="-29" w:rightChars="-14"/>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b/>
                <w:sz w:val="18"/>
                <w:szCs w:val="18"/>
                <w:highlight w:val="none"/>
              </w:rPr>
            </w:pPr>
            <w:r>
              <w:rPr>
                <w:rFonts w:hint="default" w:ascii="宋体" w:hAnsi="宋体"/>
                <w:b/>
                <w:kern w:val="0"/>
                <w:sz w:val="13"/>
                <w:szCs w:val="13"/>
                <w:highlight w:val="none"/>
              </w:rPr>
              <w:t>皮山县木奎拉乡卫生院</w:t>
            </w:r>
          </w:p>
        </w:tc>
        <w:tc>
          <w:tcPr>
            <w:tcW w:w="1247" w:type="dxa"/>
            <w:shd w:val="clear" w:color="auto" w:fill="auto"/>
            <w:vAlign w:val="center"/>
          </w:tcPr>
          <w:p>
            <w:pPr>
              <w:ind w:right="-29" w:rightChars="-14"/>
              <w:jc w:val="right"/>
              <w:rPr>
                <w:b/>
                <w:sz w:val="18"/>
                <w:szCs w:val="18"/>
                <w:highlight w:val="none"/>
              </w:rPr>
            </w:pPr>
            <w:r>
              <w:rPr>
                <w:rFonts w:hint="default" w:ascii="宋体" w:hAnsi="宋体"/>
                <w:b/>
                <w:kern w:val="0"/>
                <w:sz w:val="13"/>
                <w:szCs w:val="13"/>
                <w:highlight w:val="none"/>
              </w:rPr>
              <w:t>92.14</w:t>
            </w:r>
          </w:p>
        </w:tc>
        <w:tc>
          <w:tcPr>
            <w:tcW w:w="1247" w:type="dxa"/>
            <w:shd w:val="clear" w:color="auto" w:fill="auto"/>
            <w:vAlign w:val="center"/>
          </w:tcPr>
          <w:p>
            <w:pPr>
              <w:ind w:right="-29" w:rightChars="-14"/>
              <w:jc w:val="right"/>
              <w:rPr>
                <w:b/>
                <w:sz w:val="18"/>
                <w:szCs w:val="18"/>
                <w:highlight w:val="none"/>
              </w:rPr>
            </w:pPr>
            <w:r>
              <w:rPr>
                <w:rFonts w:hint="default" w:ascii="宋体" w:hAnsi="宋体"/>
                <w:b/>
                <w:kern w:val="0"/>
                <w:sz w:val="13"/>
                <w:szCs w:val="13"/>
                <w:highlight w:val="none"/>
              </w:rPr>
              <w:t>92.14</w:t>
            </w:r>
          </w:p>
        </w:tc>
        <w:tc>
          <w:tcPr>
            <w:tcW w:w="1247" w:type="dxa"/>
            <w:shd w:val="clear" w:color="auto" w:fill="auto"/>
            <w:vAlign w:val="center"/>
          </w:tcPr>
          <w:p>
            <w:pPr>
              <w:ind w:right="-29" w:rightChars="-14"/>
              <w:jc w:val="right"/>
              <w:rPr>
                <w:b/>
                <w:sz w:val="18"/>
                <w:szCs w:val="18"/>
                <w:highlight w:val="none"/>
              </w:rPr>
            </w:pPr>
          </w:p>
        </w:tc>
        <w:tc>
          <w:tcPr>
            <w:tcW w:w="1247" w:type="dxa"/>
            <w:shd w:val="clear" w:color="auto" w:fill="auto"/>
            <w:vAlign w:val="center"/>
          </w:tcPr>
          <w:p>
            <w:pPr>
              <w:ind w:right="-29" w:rightChars="-14"/>
              <w:jc w:val="right"/>
              <w:rPr>
                <w:b/>
                <w:sz w:val="18"/>
                <w:szCs w:val="18"/>
                <w:highlight w:val="none"/>
              </w:rPr>
            </w:pPr>
          </w:p>
        </w:tc>
        <w:tc>
          <w:tcPr>
            <w:tcW w:w="1247" w:type="dxa"/>
            <w:shd w:val="clear" w:color="auto" w:fill="auto"/>
            <w:vAlign w:val="center"/>
          </w:tcPr>
          <w:p>
            <w:pPr>
              <w:ind w:right="-29" w:rightChars="-14"/>
              <w:jc w:val="right"/>
              <w:rPr>
                <w:b/>
                <w:sz w:val="18"/>
                <w:szCs w:val="18"/>
                <w:highlight w:val="none"/>
              </w:rPr>
            </w:pPr>
            <w:r>
              <w:rPr>
                <w:rFonts w:hint="default" w:ascii="宋体" w:hAnsi="宋体"/>
                <w:b/>
                <w:kern w:val="0"/>
                <w:sz w:val="13"/>
                <w:szCs w:val="13"/>
                <w:highlight w:val="none"/>
              </w:rPr>
              <w:t>92.14</w:t>
            </w:r>
          </w:p>
        </w:tc>
        <w:tc>
          <w:tcPr>
            <w:tcW w:w="1247" w:type="dxa"/>
            <w:gridSpan w:val="2"/>
            <w:shd w:val="clear" w:color="auto" w:fill="auto"/>
            <w:vAlign w:val="center"/>
          </w:tcPr>
          <w:p>
            <w:pPr>
              <w:ind w:right="-29" w:rightChars="-14"/>
              <w:jc w:val="right"/>
              <w:rPr>
                <w:b/>
                <w:sz w:val="18"/>
                <w:szCs w:val="18"/>
                <w:highlight w:val="none"/>
              </w:rPr>
            </w:pPr>
          </w:p>
        </w:tc>
        <w:tc>
          <w:tcPr>
            <w:tcW w:w="1247" w:type="dxa"/>
            <w:shd w:val="clear" w:color="auto" w:fill="auto"/>
            <w:vAlign w:val="center"/>
          </w:tcPr>
          <w:p>
            <w:pPr>
              <w:ind w:right="-29" w:rightChars="-14"/>
              <w:jc w:val="right"/>
              <w:rPr>
                <w:b/>
                <w:sz w:val="18"/>
                <w:szCs w:val="18"/>
                <w:highlight w:val="none"/>
              </w:rPr>
            </w:pPr>
          </w:p>
        </w:tc>
        <w:tc>
          <w:tcPr>
            <w:tcW w:w="1247" w:type="dxa"/>
            <w:shd w:val="clear" w:color="auto" w:fill="auto"/>
            <w:vAlign w:val="center"/>
          </w:tcPr>
          <w:p>
            <w:pPr>
              <w:ind w:right="-29" w:rightChars="-14"/>
              <w:jc w:val="right"/>
              <w:rPr>
                <w:b/>
                <w:sz w:val="18"/>
                <w:szCs w:val="18"/>
                <w:highlight w:val="none"/>
              </w:rPr>
            </w:pPr>
          </w:p>
        </w:tc>
        <w:tc>
          <w:tcPr>
            <w:tcW w:w="1247" w:type="dxa"/>
            <w:shd w:val="clear" w:color="auto" w:fill="auto"/>
            <w:vAlign w:val="center"/>
          </w:tcPr>
          <w:p>
            <w:pPr>
              <w:ind w:right="-29" w:rightChars="-14"/>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highlight w:val="none"/>
              </w:rPr>
            </w:pPr>
            <w:r>
              <w:rPr>
                <w:rFonts w:hint="default" w:ascii="宋体" w:hAnsi="宋体"/>
                <w:kern w:val="0"/>
                <w:sz w:val="13"/>
                <w:szCs w:val="13"/>
                <w:highlight w:val="none"/>
              </w:rPr>
              <w:t xml:space="preserve">  2022年自治区公共卫生服务（地方公共卫生）补助资金</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19.80</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19.80</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19.80</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highlight w:val="none"/>
              </w:rPr>
            </w:pPr>
            <w:r>
              <w:rPr>
                <w:rFonts w:hint="default" w:ascii="宋体" w:hAnsi="宋体"/>
                <w:kern w:val="0"/>
                <w:sz w:val="13"/>
                <w:szCs w:val="13"/>
                <w:highlight w:val="none"/>
              </w:rPr>
              <w:t xml:space="preserve">  2022年中央重大传染病防控补助资金</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3.45</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3.45</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3.45</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highlight w:val="none"/>
              </w:rPr>
            </w:pPr>
            <w:r>
              <w:rPr>
                <w:rFonts w:hint="default" w:ascii="宋体" w:hAnsi="宋体"/>
                <w:kern w:val="0"/>
                <w:sz w:val="13"/>
                <w:szCs w:val="13"/>
                <w:highlight w:val="none"/>
              </w:rPr>
              <w:t xml:space="preserve">  2022年自治区医疗服务与保障能力提升（卫生健康人才队伍建设）补助资金</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3.24</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3.24</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3.24</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rFonts w:hint="eastAsia" w:eastAsia="宋体"/>
                <w:sz w:val="18"/>
                <w:szCs w:val="18"/>
                <w:highlight w:val="none"/>
                <w:lang w:eastAsia="zh-CN"/>
              </w:rPr>
            </w:pPr>
            <w:r>
              <w:rPr>
                <w:rFonts w:hint="default" w:ascii="宋体" w:hAnsi="宋体"/>
                <w:kern w:val="0"/>
                <w:sz w:val="13"/>
                <w:szCs w:val="13"/>
                <w:highlight w:val="none"/>
              </w:rPr>
              <w:t xml:space="preserve">  关于拨付2022年中央基本药物制度补助资金</w:t>
            </w:r>
            <w:r>
              <w:rPr>
                <w:rFonts w:hint="eastAsia" w:ascii="宋体" w:hAnsi="宋体"/>
                <w:kern w:val="0"/>
                <w:sz w:val="13"/>
                <w:szCs w:val="13"/>
                <w:highlight w:val="none"/>
                <w:lang w:eastAsia="zh-CN"/>
              </w:rPr>
              <w:t>（第二批）</w:t>
            </w:r>
            <w:r>
              <w:rPr>
                <w:rFonts w:hint="default" w:ascii="宋体" w:hAnsi="宋体"/>
                <w:kern w:val="0"/>
                <w:sz w:val="13"/>
                <w:szCs w:val="13"/>
                <w:highlight w:val="none"/>
              </w:rPr>
              <w:t>的通知</w:t>
            </w:r>
            <w:r>
              <w:rPr>
                <w:rFonts w:hint="eastAsia" w:ascii="宋体" w:hAnsi="宋体"/>
                <w:kern w:val="0"/>
                <w:sz w:val="13"/>
                <w:szCs w:val="13"/>
                <w:highlight w:val="none"/>
                <w:lang w:eastAsia="zh-CN"/>
              </w:rPr>
              <w:t>（和地财</w:t>
            </w:r>
            <w:r>
              <w:rPr>
                <w:rFonts w:hint="default" w:ascii="宋体" w:hAnsi="宋体"/>
                <w:kern w:val="0"/>
                <w:sz w:val="13"/>
                <w:szCs w:val="13"/>
                <w:highlight w:val="none"/>
              </w:rPr>
              <w:t>社</w:t>
            </w:r>
            <w:r>
              <w:rPr>
                <w:rFonts w:hint="eastAsia" w:ascii="宋体" w:hAnsi="宋体"/>
                <w:kern w:val="0"/>
                <w:sz w:val="13"/>
                <w:szCs w:val="13"/>
                <w:highlight w:val="none"/>
                <w:lang w:eastAsia="zh-CN"/>
              </w:rPr>
              <w:t>〔</w:t>
            </w:r>
            <w:r>
              <w:rPr>
                <w:rFonts w:hint="default" w:ascii="宋体" w:hAnsi="宋体"/>
                <w:kern w:val="0"/>
                <w:sz w:val="13"/>
                <w:szCs w:val="13"/>
                <w:highlight w:val="none"/>
              </w:rPr>
              <w:t>2022</w:t>
            </w:r>
            <w:r>
              <w:rPr>
                <w:rFonts w:hint="eastAsia" w:ascii="宋体" w:hAnsi="宋体"/>
                <w:kern w:val="0"/>
                <w:sz w:val="13"/>
                <w:szCs w:val="13"/>
                <w:highlight w:val="none"/>
                <w:lang w:eastAsia="zh-CN"/>
              </w:rPr>
              <w:t>〕</w:t>
            </w:r>
            <w:r>
              <w:rPr>
                <w:rFonts w:hint="default" w:ascii="宋体" w:hAnsi="宋体"/>
                <w:kern w:val="0"/>
                <w:sz w:val="13"/>
                <w:szCs w:val="13"/>
                <w:highlight w:val="none"/>
              </w:rPr>
              <w:t>34</w:t>
            </w:r>
            <w:r>
              <w:rPr>
                <w:rFonts w:hint="eastAsia" w:ascii="宋体" w:hAnsi="宋体"/>
                <w:kern w:val="0"/>
                <w:sz w:val="13"/>
                <w:szCs w:val="13"/>
                <w:highlight w:val="none"/>
                <w:lang w:eastAsia="zh-CN"/>
              </w:rPr>
              <w:t>号）</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2.80</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2.80</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2.80</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highlight w:val="none"/>
              </w:rPr>
            </w:pPr>
            <w:r>
              <w:rPr>
                <w:rFonts w:hint="default" w:ascii="宋体" w:hAnsi="宋体"/>
                <w:kern w:val="0"/>
                <w:sz w:val="13"/>
                <w:szCs w:val="13"/>
                <w:highlight w:val="none"/>
              </w:rPr>
              <w:t xml:space="preserve">  2023年自治区医疗服务与保障能力提升（卫生健康人才培养）补助资金</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1.63</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1.63</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1.63</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highlight w:val="none"/>
              </w:rPr>
            </w:pPr>
            <w:r>
              <w:rPr>
                <w:rFonts w:hint="default" w:ascii="宋体" w:hAnsi="宋体"/>
                <w:kern w:val="0"/>
                <w:sz w:val="13"/>
                <w:szCs w:val="13"/>
                <w:highlight w:val="none"/>
              </w:rPr>
              <w:t xml:space="preserve">  2023年中央财政重大传染病防治补助资金</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3.73</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3.73</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3.73</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highlight w:val="none"/>
              </w:rPr>
            </w:pPr>
            <w:r>
              <w:rPr>
                <w:rFonts w:hint="default" w:ascii="宋体" w:hAnsi="宋体"/>
                <w:kern w:val="0"/>
                <w:sz w:val="13"/>
                <w:szCs w:val="13"/>
                <w:highlight w:val="none"/>
              </w:rPr>
              <w:t xml:space="preserve">  2023年自治区公共卫生服务（地方公共卫生）补助资金</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12.48</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12.48</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12.48</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highlight w:val="none"/>
              </w:rPr>
            </w:pPr>
            <w:r>
              <w:rPr>
                <w:rFonts w:hint="default" w:ascii="宋体" w:hAnsi="宋体"/>
                <w:kern w:val="0"/>
                <w:sz w:val="13"/>
                <w:szCs w:val="13"/>
                <w:highlight w:val="none"/>
              </w:rPr>
              <w:t xml:space="preserve">  2023年中央财政基本药物制度补助资金</w:t>
            </w:r>
            <w:r>
              <w:rPr>
                <w:rFonts w:hint="eastAsia" w:ascii="宋体" w:hAnsi="宋体"/>
                <w:kern w:val="0"/>
                <w:sz w:val="13"/>
                <w:szCs w:val="13"/>
                <w:highlight w:val="none"/>
                <w:lang w:eastAsia="zh-CN"/>
              </w:rPr>
              <w:t>（和地财</w:t>
            </w:r>
            <w:r>
              <w:rPr>
                <w:rFonts w:hint="default" w:ascii="宋体" w:hAnsi="宋体"/>
                <w:kern w:val="0"/>
                <w:sz w:val="13"/>
                <w:szCs w:val="13"/>
                <w:highlight w:val="none"/>
              </w:rPr>
              <w:t>社〔2022〕72</w:t>
            </w:r>
            <w:r>
              <w:rPr>
                <w:rFonts w:hint="eastAsia" w:ascii="宋体" w:hAnsi="宋体"/>
                <w:kern w:val="0"/>
                <w:sz w:val="13"/>
                <w:szCs w:val="13"/>
                <w:highlight w:val="none"/>
                <w:lang w:eastAsia="zh-CN"/>
              </w:rPr>
              <w:t>号）</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1.83</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1.83</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1.83</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highlight w:val="none"/>
              </w:rPr>
            </w:pPr>
            <w:r>
              <w:rPr>
                <w:rFonts w:hint="default" w:ascii="宋体" w:hAnsi="宋体"/>
                <w:kern w:val="0"/>
                <w:sz w:val="13"/>
                <w:szCs w:val="13"/>
                <w:highlight w:val="none"/>
              </w:rPr>
              <w:t xml:space="preserve">  2023年基本公共卫生服务中央财政补助资金</w:t>
            </w:r>
            <w:r>
              <w:rPr>
                <w:rFonts w:hint="eastAsia" w:ascii="宋体" w:hAnsi="宋体"/>
                <w:kern w:val="0"/>
                <w:sz w:val="13"/>
                <w:szCs w:val="13"/>
                <w:highlight w:val="none"/>
                <w:lang w:eastAsia="zh-CN"/>
              </w:rPr>
              <w:t>（和地财</w:t>
            </w:r>
            <w:r>
              <w:rPr>
                <w:rFonts w:hint="default" w:ascii="宋体" w:hAnsi="宋体"/>
                <w:kern w:val="0"/>
                <w:sz w:val="13"/>
                <w:szCs w:val="13"/>
                <w:highlight w:val="none"/>
              </w:rPr>
              <w:t>社</w:t>
            </w:r>
            <w:r>
              <w:rPr>
                <w:rFonts w:hint="eastAsia" w:ascii="宋体" w:hAnsi="宋体"/>
                <w:kern w:val="0"/>
                <w:sz w:val="13"/>
                <w:szCs w:val="13"/>
                <w:highlight w:val="none"/>
                <w:lang w:eastAsia="zh-CN"/>
              </w:rPr>
              <w:t>〔2022〕</w:t>
            </w:r>
            <w:r>
              <w:rPr>
                <w:rFonts w:hint="default" w:ascii="宋体" w:hAnsi="宋体"/>
                <w:kern w:val="0"/>
                <w:sz w:val="13"/>
                <w:szCs w:val="13"/>
                <w:highlight w:val="none"/>
              </w:rPr>
              <w:t>71</w:t>
            </w:r>
            <w:r>
              <w:rPr>
                <w:rFonts w:hint="eastAsia" w:ascii="宋体" w:hAnsi="宋体"/>
                <w:kern w:val="0"/>
                <w:sz w:val="13"/>
                <w:szCs w:val="13"/>
                <w:highlight w:val="none"/>
                <w:lang w:eastAsia="zh-CN"/>
              </w:rPr>
              <w:t>号）</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0.14</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0.14</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0.14</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rFonts w:hint="eastAsia" w:eastAsia="宋体"/>
                <w:sz w:val="18"/>
                <w:szCs w:val="18"/>
                <w:highlight w:val="none"/>
                <w:lang w:eastAsia="zh-CN"/>
              </w:rPr>
            </w:pPr>
            <w:r>
              <w:rPr>
                <w:rFonts w:hint="default" w:ascii="宋体" w:hAnsi="宋体"/>
                <w:kern w:val="0"/>
                <w:sz w:val="13"/>
                <w:szCs w:val="13"/>
                <w:highlight w:val="none"/>
              </w:rPr>
              <w:t xml:space="preserve">  2023年中央基本公共卫生服务补助资金（第二批）</w:t>
            </w:r>
            <w:r>
              <w:rPr>
                <w:rFonts w:hint="eastAsia" w:ascii="宋体" w:hAnsi="宋体"/>
                <w:kern w:val="0"/>
                <w:sz w:val="13"/>
                <w:szCs w:val="13"/>
                <w:highlight w:val="none"/>
                <w:lang w:eastAsia="zh-CN"/>
              </w:rPr>
              <w:t>（和地财</w:t>
            </w:r>
            <w:r>
              <w:rPr>
                <w:rFonts w:hint="default" w:ascii="宋体" w:hAnsi="宋体"/>
                <w:kern w:val="0"/>
                <w:sz w:val="13"/>
                <w:szCs w:val="13"/>
                <w:highlight w:val="none"/>
              </w:rPr>
              <w:t>社〔2023〕14</w:t>
            </w:r>
            <w:r>
              <w:rPr>
                <w:rFonts w:hint="eastAsia" w:ascii="宋体" w:hAnsi="宋体"/>
                <w:kern w:val="0"/>
                <w:sz w:val="13"/>
                <w:szCs w:val="13"/>
                <w:highlight w:val="none"/>
                <w:lang w:eastAsia="zh-CN"/>
              </w:rPr>
              <w:t>号）</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12.63</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12.63</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12.63</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rFonts w:hint="eastAsia" w:eastAsia="宋体"/>
                <w:sz w:val="18"/>
                <w:szCs w:val="18"/>
                <w:highlight w:val="none"/>
                <w:lang w:eastAsia="zh-CN"/>
              </w:rPr>
            </w:pPr>
            <w:r>
              <w:rPr>
                <w:rFonts w:hint="default" w:ascii="宋体" w:hAnsi="宋体"/>
                <w:kern w:val="0"/>
                <w:sz w:val="13"/>
                <w:szCs w:val="13"/>
                <w:highlight w:val="none"/>
              </w:rPr>
              <w:t xml:space="preserve">  2023年中央基本药物补助资金（第二批）</w:t>
            </w:r>
            <w:r>
              <w:rPr>
                <w:rFonts w:hint="eastAsia" w:ascii="宋体" w:hAnsi="宋体"/>
                <w:kern w:val="0"/>
                <w:sz w:val="13"/>
                <w:szCs w:val="13"/>
                <w:highlight w:val="none"/>
                <w:lang w:eastAsia="zh-CN"/>
              </w:rPr>
              <w:t>（和地财</w:t>
            </w:r>
            <w:r>
              <w:rPr>
                <w:rFonts w:hint="default" w:ascii="宋体" w:hAnsi="宋体"/>
                <w:kern w:val="0"/>
                <w:sz w:val="13"/>
                <w:szCs w:val="13"/>
                <w:highlight w:val="none"/>
              </w:rPr>
              <w:t>社〔2023〕15</w:t>
            </w:r>
            <w:r>
              <w:rPr>
                <w:rFonts w:hint="eastAsia" w:ascii="宋体" w:hAnsi="宋体"/>
                <w:kern w:val="0"/>
                <w:sz w:val="13"/>
                <w:szCs w:val="13"/>
                <w:highlight w:val="none"/>
                <w:lang w:eastAsia="zh-CN"/>
              </w:rPr>
              <w:t>号）</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2.24</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2.24</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2.24</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rFonts w:hint="eastAsia" w:eastAsia="宋体"/>
                <w:sz w:val="18"/>
                <w:szCs w:val="18"/>
                <w:highlight w:val="none"/>
                <w:lang w:eastAsia="zh-CN"/>
              </w:rPr>
            </w:pPr>
            <w:r>
              <w:rPr>
                <w:rFonts w:hint="default" w:ascii="宋体" w:hAnsi="宋体"/>
                <w:kern w:val="0"/>
                <w:sz w:val="13"/>
                <w:szCs w:val="13"/>
                <w:highlight w:val="none"/>
              </w:rPr>
              <w:t xml:space="preserve">  2023年中央财政第二批重大传染病防控经费</w:t>
            </w:r>
            <w:r>
              <w:rPr>
                <w:rFonts w:hint="eastAsia" w:ascii="宋体" w:hAnsi="宋体"/>
                <w:kern w:val="0"/>
                <w:sz w:val="13"/>
                <w:szCs w:val="13"/>
                <w:highlight w:val="none"/>
                <w:lang w:eastAsia="zh-CN"/>
              </w:rPr>
              <w:t>（和地财</w:t>
            </w:r>
            <w:r>
              <w:rPr>
                <w:rFonts w:hint="default" w:ascii="宋体" w:hAnsi="宋体"/>
                <w:kern w:val="0"/>
                <w:sz w:val="13"/>
                <w:szCs w:val="13"/>
                <w:highlight w:val="none"/>
              </w:rPr>
              <w:t>社〔2023〕30</w:t>
            </w:r>
            <w:r>
              <w:rPr>
                <w:rFonts w:hint="eastAsia" w:ascii="宋体" w:hAnsi="宋体"/>
                <w:kern w:val="0"/>
                <w:sz w:val="13"/>
                <w:szCs w:val="13"/>
                <w:highlight w:val="none"/>
                <w:lang w:eastAsia="zh-CN"/>
              </w:rPr>
              <w:t>号）</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0.81</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0.81</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0.81</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highlight w:val="none"/>
              </w:rPr>
            </w:pPr>
            <w:r>
              <w:rPr>
                <w:rFonts w:hint="default" w:ascii="宋体" w:hAnsi="宋体"/>
                <w:kern w:val="0"/>
                <w:sz w:val="13"/>
                <w:szCs w:val="13"/>
                <w:highlight w:val="none"/>
              </w:rPr>
              <w:t xml:space="preserve">  2024年基本公共卫生服务中央财政补助资金</w:t>
            </w:r>
            <w:r>
              <w:rPr>
                <w:rFonts w:hint="eastAsia" w:ascii="宋体" w:hAnsi="宋体"/>
                <w:kern w:val="0"/>
                <w:sz w:val="13"/>
                <w:szCs w:val="13"/>
                <w:highlight w:val="none"/>
                <w:lang w:eastAsia="zh-CN"/>
              </w:rPr>
              <w:t>（和地财</w:t>
            </w:r>
            <w:r>
              <w:rPr>
                <w:rFonts w:hint="default" w:ascii="宋体" w:hAnsi="宋体"/>
                <w:kern w:val="0"/>
                <w:sz w:val="13"/>
                <w:szCs w:val="13"/>
                <w:highlight w:val="none"/>
              </w:rPr>
              <w:t>社〔2023〕69</w:t>
            </w:r>
            <w:r>
              <w:rPr>
                <w:rFonts w:hint="eastAsia" w:ascii="宋体" w:hAnsi="宋体"/>
                <w:kern w:val="0"/>
                <w:sz w:val="13"/>
                <w:szCs w:val="13"/>
                <w:highlight w:val="none"/>
                <w:lang w:eastAsia="zh-CN"/>
              </w:rPr>
              <w:t>号）</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2.45</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2.45</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2.45</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highlight w:val="none"/>
              </w:rPr>
            </w:pPr>
            <w:r>
              <w:rPr>
                <w:rFonts w:hint="default" w:ascii="宋体" w:hAnsi="宋体"/>
                <w:kern w:val="0"/>
                <w:sz w:val="13"/>
                <w:szCs w:val="13"/>
                <w:highlight w:val="none"/>
              </w:rPr>
              <w:t xml:space="preserve">  2024年自治区基本公共卫生服务补助资金</w:t>
            </w:r>
            <w:r>
              <w:rPr>
                <w:rFonts w:hint="eastAsia" w:ascii="宋体" w:hAnsi="宋体"/>
                <w:kern w:val="0"/>
                <w:sz w:val="13"/>
                <w:szCs w:val="13"/>
                <w:highlight w:val="none"/>
                <w:lang w:eastAsia="zh-CN"/>
              </w:rPr>
              <w:t>（和地财</w:t>
            </w:r>
            <w:r>
              <w:rPr>
                <w:rFonts w:hint="default" w:ascii="宋体" w:hAnsi="宋体"/>
                <w:kern w:val="0"/>
                <w:sz w:val="13"/>
                <w:szCs w:val="13"/>
                <w:highlight w:val="none"/>
              </w:rPr>
              <w:t>社〔2023〕74</w:t>
            </w:r>
            <w:r>
              <w:rPr>
                <w:rFonts w:hint="eastAsia" w:ascii="宋体" w:hAnsi="宋体"/>
                <w:kern w:val="0"/>
                <w:sz w:val="13"/>
                <w:szCs w:val="13"/>
                <w:highlight w:val="none"/>
                <w:lang w:eastAsia="zh-CN"/>
              </w:rPr>
              <w:t>号）</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0.78</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0.78</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0.78</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highlight w:val="none"/>
              </w:rPr>
            </w:pPr>
            <w:r>
              <w:rPr>
                <w:rFonts w:hint="default" w:ascii="宋体" w:hAnsi="宋体"/>
                <w:kern w:val="0"/>
                <w:sz w:val="13"/>
                <w:szCs w:val="13"/>
                <w:highlight w:val="none"/>
              </w:rPr>
              <w:t xml:space="preserve">  2024年自治区公共卫生服务</w:t>
            </w:r>
            <w:r>
              <w:rPr>
                <w:rFonts w:hint="eastAsia" w:ascii="宋体" w:hAnsi="宋体"/>
                <w:kern w:val="0"/>
                <w:sz w:val="13"/>
                <w:szCs w:val="13"/>
                <w:highlight w:val="none"/>
                <w:lang w:eastAsia="zh-CN"/>
              </w:rPr>
              <w:t>（地方公共卫生）</w:t>
            </w:r>
            <w:r>
              <w:rPr>
                <w:rFonts w:hint="default" w:ascii="宋体" w:hAnsi="宋体"/>
                <w:kern w:val="0"/>
                <w:sz w:val="13"/>
                <w:szCs w:val="13"/>
                <w:highlight w:val="none"/>
              </w:rPr>
              <w:t>补助资金</w:t>
            </w:r>
            <w:r>
              <w:rPr>
                <w:rFonts w:hint="eastAsia" w:ascii="宋体" w:hAnsi="宋体"/>
                <w:kern w:val="0"/>
                <w:sz w:val="13"/>
                <w:szCs w:val="13"/>
                <w:highlight w:val="none"/>
                <w:lang w:eastAsia="zh-CN"/>
              </w:rPr>
              <w:t>（和地财</w:t>
            </w:r>
            <w:r>
              <w:rPr>
                <w:rFonts w:hint="default" w:ascii="宋体" w:hAnsi="宋体"/>
                <w:kern w:val="0"/>
                <w:sz w:val="13"/>
                <w:szCs w:val="13"/>
                <w:highlight w:val="none"/>
              </w:rPr>
              <w:t>社〔2023〕75</w:t>
            </w:r>
            <w:r>
              <w:rPr>
                <w:rFonts w:hint="eastAsia" w:ascii="宋体" w:hAnsi="宋体"/>
                <w:kern w:val="0"/>
                <w:sz w:val="13"/>
                <w:szCs w:val="13"/>
                <w:highlight w:val="none"/>
                <w:lang w:eastAsia="zh-CN"/>
              </w:rPr>
              <w:t>号）</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4.84</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4.84</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4.84</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highlight w:val="none"/>
              </w:rPr>
            </w:pPr>
            <w:r>
              <w:rPr>
                <w:rFonts w:hint="default" w:ascii="宋体" w:hAnsi="宋体"/>
                <w:kern w:val="0"/>
                <w:sz w:val="13"/>
                <w:szCs w:val="13"/>
                <w:highlight w:val="none"/>
              </w:rPr>
              <w:t xml:space="preserve">  2024年中央重大传染病防治补助资金</w:t>
            </w:r>
            <w:r>
              <w:rPr>
                <w:rFonts w:hint="eastAsia" w:ascii="宋体" w:hAnsi="宋体"/>
                <w:kern w:val="0"/>
                <w:sz w:val="13"/>
                <w:szCs w:val="13"/>
                <w:highlight w:val="none"/>
                <w:lang w:eastAsia="zh-CN"/>
              </w:rPr>
              <w:t>（和地财</w:t>
            </w:r>
            <w:r>
              <w:rPr>
                <w:rFonts w:hint="default" w:ascii="宋体" w:hAnsi="宋体"/>
                <w:kern w:val="0"/>
                <w:sz w:val="13"/>
                <w:szCs w:val="13"/>
                <w:highlight w:val="none"/>
              </w:rPr>
              <w:t>社〔2023〕73</w:t>
            </w:r>
            <w:r>
              <w:rPr>
                <w:rFonts w:hint="eastAsia" w:ascii="宋体" w:hAnsi="宋体"/>
                <w:kern w:val="0"/>
                <w:sz w:val="13"/>
                <w:szCs w:val="13"/>
                <w:highlight w:val="none"/>
                <w:lang w:eastAsia="zh-CN"/>
              </w:rPr>
              <w:t>号）</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1.03</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1.03</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1.03</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highlight w:val="none"/>
              </w:rPr>
            </w:pPr>
            <w:r>
              <w:rPr>
                <w:rFonts w:hint="default" w:ascii="宋体" w:hAnsi="宋体"/>
                <w:kern w:val="0"/>
                <w:sz w:val="13"/>
                <w:szCs w:val="13"/>
                <w:highlight w:val="none"/>
              </w:rPr>
              <w:t xml:space="preserve">  2024年自治区医疗服务与保障能力提升</w:t>
            </w:r>
            <w:r>
              <w:rPr>
                <w:rFonts w:hint="eastAsia" w:ascii="宋体" w:hAnsi="宋体"/>
                <w:kern w:val="0"/>
                <w:sz w:val="13"/>
                <w:szCs w:val="13"/>
                <w:highlight w:val="none"/>
                <w:lang w:eastAsia="zh-CN"/>
              </w:rPr>
              <w:t>（卫生健康人才培养）</w:t>
            </w:r>
            <w:r>
              <w:rPr>
                <w:rFonts w:hint="default" w:ascii="宋体" w:hAnsi="宋体"/>
                <w:kern w:val="0"/>
                <w:sz w:val="13"/>
                <w:szCs w:val="13"/>
                <w:highlight w:val="none"/>
              </w:rPr>
              <w:t>补助资金</w:t>
            </w:r>
            <w:r>
              <w:rPr>
                <w:rFonts w:hint="eastAsia" w:ascii="宋体" w:hAnsi="宋体"/>
                <w:kern w:val="0"/>
                <w:sz w:val="13"/>
                <w:szCs w:val="13"/>
                <w:highlight w:val="none"/>
                <w:lang w:eastAsia="zh-CN"/>
              </w:rPr>
              <w:t>（和地财</w:t>
            </w:r>
            <w:r>
              <w:rPr>
                <w:rFonts w:hint="default" w:ascii="宋体" w:hAnsi="宋体"/>
                <w:kern w:val="0"/>
                <w:sz w:val="13"/>
                <w:szCs w:val="13"/>
                <w:highlight w:val="none"/>
              </w:rPr>
              <w:t>社〔2023〕76</w:t>
            </w:r>
            <w:r>
              <w:rPr>
                <w:rFonts w:hint="eastAsia" w:ascii="宋体" w:hAnsi="宋体"/>
                <w:kern w:val="0"/>
                <w:sz w:val="13"/>
                <w:szCs w:val="13"/>
                <w:highlight w:val="none"/>
                <w:lang w:eastAsia="zh-CN"/>
              </w:rPr>
              <w:t>号）</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1.21</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1.21</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1.21</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highlight w:val="none"/>
              </w:rPr>
            </w:pPr>
            <w:r>
              <w:rPr>
                <w:rFonts w:hint="default" w:ascii="宋体" w:hAnsi="宋体"/>
                <w:kern w:val="0"/>
                <w:sz w:val="13"/>
                <w:szCs w:val="13"/>
                <w:highlight w:val="none"/>
              </w:rPr>
              <w:t xml:space="preserve">  2024年基本药物补助资金</w:t>
            </w:r>
            <w:r>
              <w:rPr>
                <w:rFonts w:hint="eastAsia" w:ascii="宋体" w:hAnsi="宋体"/>
                <w:kern w:val="0"/>
                <w:sz w:val="13"/>
                <w:szCs w:val="13"/>
                <w:highlight w:val="none"/>
                <w:lang w:eastAsia="zh-CN"/>
              </w:rPr>
              <w:t>（和地财</w:t>
            </w:r>
            <w:r>
              <w:rPr>
                <w:rFonts w:hint="default" w:ascii="宋体" w:hAnsi="宋体"/>
                <w:kern w:val="0"/>
                <w:sz w:val="13"/>
                <w:szCs w:val="13"/>
                <w:highlight w:val="none"/>
              </w:rPr>
              <w:t>社〔2023〕70</w:t>
            </w:r>
            <w:r>
              <w:rPr>
                <w:rFonts w:hint="eastAsia" w:ascii="宋体" w:hAnsi="宋体"/>
                <w:kern w:val="0"/>
                <w:sz w:val="13"/>
                <w:szCs w:val="13"/>
                <w:highlight w:val="none"/>
                <w:lang w:eastAsia="zh-CN"/>
              </w:rPr>
              <w:t>号）</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5.66</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5.66</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5.66</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rFonts w:hint="eastAsia" w:eastAsia="宋体"/>
                <w:sz w:val="18"/>
                <w:szCs w:val="18"/>
                <w:highlight w:val="none"/>
                <w:lang w:eastAsia="zh-CN"/>
              </w:rPr>
            </w:pPr>
            <w:r>
              <w:rPr>
                <w:rFonts w:hint="default" w:ascii="宋体" w:hAnsi="宋体"/>
                <w:kern w:val="0"/>
                <w:sz w:val="13"/>
                <w:szCs w:val="13"/>
                <w:highlight w:val="none"/>
              </w:rPr>
              <w:t xml:space="preserve">  2024年中央基本公共卫生服务补助资金（第二批）</w:t>
            </w:r>
            <w:r>
              <w:rPr>
                <w:rFonts w:hint="eastAsia" w:ascii="宋体" w:hAnsi="宋体"/>
                <w:kern w:val="0"/>
                <w:sz w:val="13"/>
                <w:szCs w:val="13"/>
                <w:highlight w:val="none"/>
                <w:lang w:eastAsia="zh-CN"/>
              </w:rPr>
              <w:t>（和地财</w:t>
            </w:r>
            <w:r>
              <w:rPr>
                <w:rFonts w:hint="default" w:ascii="宋体" w:hAnsi="宋体"/>
                <w:kern w:val="0"/>
                <w:sz w:val="13"/>
                <w:szCs w:val="13"/>
                <w:highlight w:val="none"/>
              </w:rPr>
              <w:t>社〔2024〕16</w:t>
            </w:r>
            <w:r>
              <w:rPr>
                <w:rFonts w:hint="eastAsia" w:ascii="宋体" w:hAnsi="宋体"/>
                <w:kern w:val="0"/>
                <w:sz w:val="13"/>
                <w:szCs w:val="13"/>
                <w:highlight w:val="none"/>
                <w:lang w:eastAsia="zh-CN"/>
              </w:rPr>
              <w:t>号）</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7.50</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7.50</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7.50</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rFonts w:hint="eastAsia" w:eastAsia="宋体"/>
                <w:sz w:val="18"/>
                <w:szCs w:val="18"/>
                <w:highlight w:val="none"/>
                <w:lang w:eastAsia="zh-CN"/>
              </w:rPr>
            </w:pPr>
            <w:r>
              <w:rPr>
                <w:rFonts w:hint="default" w:ascii="宋体" w:hAnsi="宋体"/>
                <w:kern w:val="0"/>
                <w:sz w:val="13"/>
                <w:szCs w:val="13"/>
                <w:highlight w:val="none"/>
              </w:rPr>
              <w:t xml:space="preserve">  2024年中央基本药物制度补助资金（第二批）</w:t>
            </w:r>
            <w:r>
              <w:rPr>
                <w:rFonts w:hint="eastAsia" w:ascii="宋体" w:hAnsi="宋体"/>
                <w:kern w:val="0"/>
                <w:sz w:val="13"/>
                <w:szCs w:val="13"/>
                <w:highlight w:val="none"/>
                <w:lang w:eastAsia="zh-CN"/>
              </w:rPr>
              <w:t>（和地财</w:t>
            </w:r>
            <w:r>
              <w:rPr>
                <w:rFonts w:hint="default" w:ascii="宋体" w:hAnsi="宋体"/>
                <w:kern w:val="0"/>
                <w:sz w:val="13"/>
                <w:szCs w:val="13"/>
                <w:highlight w:val="none"/>
              </w:rPr>
              <w:t>社〔2024〕15</w:t>
            </w:r>
            <w:r>
              <w:rPr>
                <w:rFonts w:hint="eastAsia" w:ascii="宋体" w:hAnsi="宋体"/>
                <w:kern w:val="0"/>
                <w:sz w:val="13"/>
                <w:szCs w:val="13"/>
                <w:highlight w:val="none"/>
                <w:lang w:eastAsia="zh-CN"/>
              </w:rPr>
              <w:t>号）</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3.23</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3.23</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3.23</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rFonts w:hint="eastAsia" w:eastAsia="宋体"/>
                <w:sz w:val="18"/>
                <w:szCs w:val="18"/>
                <w:highlight w:val="none"/>
                <w:lang w:eastAsia="zh-CN"/>
              </w:rPr>
            </w:pPr>
            <w:r>
              <w:rPr>
                <w:rFonts w:hint="default" w:ascii="宋体" w:hAnsi="宋体"/>
                <w:kern w:val="0"/>
                <w:sz w:val="13"/>
                <w:szCs w:val="13"/>
                <w:highlight w:val="none"/>
              </w:rPr>
              <w:t xml:space="preserve">  2024年中央专项彩票公益金支持地方社会公益事业发展（医疗救助）资金</w:t>
            </w:r>
            <w:r>
              <w:rPr>
                <w:rFonts w:hint="eastAsia" w:ascii="宋体" w:hAnsi="宋体"/>
                <w:kern w:val="0"/>
                <w:sz w:val="13"/>
                <w:szCs w:val="13"/>
                <w:highlight w:val="none"/>
                <w:lang w:eastAsia="zh-CN"/>
              </w:rPr>
              <w:t>（和地财</w:t>
            </w:r>
            <w:r>
              <w:rPr>
                <w:rFonts w:hint="default" w:ascii="宋体" w:hAnsi="宋体"/>
                <w:kern w:val="0"/>
                <w:sz w:val="13"/>
                <w:szCs w:val="13"/>
                <w:highlight w:val="none"/>
              </w:rPr>
              <w:t>综〔2024〕11</w:t>
            </w:r>
            <w:r>
              <w:rPr>
                <w:rFonts w:hint="eastAsia" w:ascii="宋体" w:hAnsi="宋体"/>
                <w:kern w:val="0"/>
                <w:sz w:val="13"/>
                <w:szCs w:val="13"/>
                <w:highlight w:val="none"/>
                <w:lang w:eastAsia="zh-CN"/>
              </w:rPr>
              <w:t>号）</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0.68</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0.68</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0.68</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bl>
    <w:p>
      <w:pPr>
        <w:widowControl/>
        <w:jc w:val="left"/>
        <w:rPr>
          <w:rFonts w:hint="default" w:ascii="仿宋" w:eastAsia="仿宋"/>
          <w:b/>
          <w:color w:val="000000"/>
          <w:szCs w:val="21"/>
          <w:highlight w:val="none"/>
        </w:rPr>
        <w:sectPr>
          <w:pgSz w:w="16838" w:h="11906" w:orient="landscape"/>
          <w:pgMar w:top="1134" w:right="1134" w:bottom="1134" w:left="1134" w:header="851" w:footer="992" w:gutter="0"/>
          <w:cols w:space="425" w:num="1"/>
          <w:docGrid w:type="lines" w:linePitch="312" w:charSpace="0"/>
        </w:sectPr>
      </w:pPr>
    </w:p>
    <w:p>
      <w:pPr>
        <w:pStyle w:val="2"/>
        <w:spacing w:before="156" w:beforeLines="50" w:after="156" w:afterLines="50" w:line="240" w:lineRule="atLeast"/>
        <w:jc w:val="center"/>
        <w:rPr>
          <w:rFonts w:hint="default" w:ascii="黑体" w:eastAsia="黑体"/>
          <w:sz w:val="30"/>
          <w:szCs w:val="30"/>
          <w:highlight w:val="none"/>
        </w:rPr>
      </w:pPr>
      <w:r>
        <w:rPr>
          <w:rFonts w:hint="eastAsia" w:ascii="黑体" w:eastAsia="黑体"/>
          <w:sz w:val="30"/>
          <w:szCs w:val="30"/>
          <w:highlight w:val="none"/>
        </w:rPr>
        <w:t>第三部分 2025年部门预算情况说明</w:t>
      </w:r>
    </w:p>
    <w:p>
      <w:pPr>
        <w:pStyle w:val="3"/>
        <w:numPr>
          <w:ilvl w:val="0"/>
          <w:numId w:val="2"/>
        </w:numPr>
        <w:spacing w:before="0" w:after="0" w:line="560" w:lineRule="exact"/>
        <w:ind w:left="0" w:firstLine="562" w:firstLineChars="201"/>
        <w:rPr>
          <w:rFonts w:hint="default" w:ascii="仿宋" w:hAnsi="华文楷体" w:eastAsia="仿宋"/>
          <w:sz w:val="28"/>
          <w:szCs w:val="28"/>
          <w:highlight w:val="none"/>
        </w:rPr>
      </w:pPr>
      <w:r>
        <w:rPr>
          <w:rFonts w:hint="eastAsia" w:ascii="仿宋" w:hAnsi="华文楷体" w:eastAsia="仿宋"/>
          <w:sz w:val="28"/>
          <w:szCs w:val="28"/>
          <w:highlight w:val="none"/>
        </w:rPr>
        <w:t>关于皮山县木奎拉乡卫生院2025年收支预算情况总体说明</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按照全口径预算的原则，皮山县木奎拉乡卫生院2025年所有收入和支出均纳入部门预算管理。收支总预算1,799.54万元。</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收入预算包括：一般公共预算、单位资金、财政拨款结转结余。</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支出预算包括：社会保障和就业支出、卫生健康支出、住房保障支出、其他支出。</w:t>
      </w:r>
    </w:p>
    <w:p>
      <w:pPr>
        <w:pStyle w:val="3"/>
        <w:numPr>
          <w:ilvl w:val="0"/>
          <w:numId w:val="2"/>
        </w:numPr>
        <w:spacing w:before="0" w:after="0" w:line="560" w:lineRule="exact"/>
        <w:ind w:left="0" w:firstLine="562" w:firstLineChars="201"/>
        <w:rPr>
          <w:rFonts w:hint="default" w:ascii="仿宋" w:hAnsi="华文楷体" w:eastAsia="仿宋"/>
          <w:sz w:val="28"/>
          <w:szCs w:val="28"/>
          <w:highlight w:val="none"/>
        </w:rPr>
      </w:pPr>
      <w:r>
        <w:rPr>
          <w:rFonts w:hint="eastAsia" w:ascii="仿宋" w:hAnsi="华文楷体" w:eastAsia="仿宋"/>
          <w:sz w:val="28"/>
          <w:szCs w:val="28"/>
          <w:highlight w:val="none"/>
        </w:rPr>
        <w:t>关于皮山县木奎拉乡卫生院2025年收入预算情况说明</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皮山县木奎拉乡卫生院部门收入预算1,799.54万元，其中：</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一般公共预算607.40万元，占33.75%，比上年预算减少61.57万元，下降9.20%，主要原因是</w:t>
      </w:r>
      <w:r>
        <w:rPr>
          <w:rFonts w:hint="eastAsia" w:ascii="仿宋" w:hAnsi="微软雅黑" w:eastAsia="仿宋"/>
          <w:sz w:val="28"/>
          <w:szCs w:val="28"/>
          <w:highlight w:val="none"/>
          <w:lang w:eastAsia="zh-CN"/>
        </w:rPr>
        <w:t>木奎拉乡</w:t>
      </w:r>
      <w:r>
        <w:rPr>
          <w:rFonts w:hint="eastAsia" w:ascii="仿宋" w:hAnsi="微软雅黑" w:eastAsia="仿宋"/>
          <w:sz w:val="28"/>
          <w:szCs w:val="28"/>
          <w:highlight w:val="none"/>
        </w:rPr>
        <w:t>卫生院本年减少财政安排人员费用和项目费用。</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上级一般公共预算安排的转移支付资金0.00万元，占0.00%，比上年预算减少361.75万元，下降100.00%，主要原因是本年度没有上级一般公共预算安排的转移支付资金。</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政府性基金预算未安排。</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上级政府性基金安排的转移支付资金0.00万元，占0.00%，比上年预算减少0.41万元，下降100.00%，主要原因是本年度没有上级政府性基金安排的转移支付资金。</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国有资本经营预算未安排。</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上级国有资本经营预算安排的转移支付资金未安排。</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单位资金1,100.00万元，占61.13%，比上年预算增加100.00万元，增长10.00%，主要原因是因木奎拉乡卫生院住院，门诊患者增加，医疗服务收入增加。</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财政拨款结转92.14万元，占5.12%，比上年预算增加4.76万元，增长5.45%，主要是</w:t>
      </w:r>
      <w:r>
        <w:rPr>
          <w:rFonts w:hint="eastAsia" w:ascii="仿宋" w:hAnsi="微软雅黑" w:eastAsia="仿宋"/>
          <w:sz w:val="28"/>
          <w:szCs w:val="28"/>
          <w:highlight w:val="none"/>
          <w:lang w:val="en-US" w:eastAsia="zh-CN"/>
        </w:rPr>
        <w:t>去年项目资金未按时支付，所以</w:t>
      </w:r>
      <w:r>
        <w:rPr>
          <w:rFonts w:hint="eastAsia" w:ascii="仿宋" w:hAnsi="微软雅黑" w:eastAsia="仿宋"/>
          <w:sz w:val="28"/>
          <w:szCs w:val="28"/>
          <w:highlight w:val="none"/>
        </w:rPr>
        <w:t>财政拨款结转</w:t>
      </w:r>
      <w:r>
        <w:rPr>
          <w:rFonts w:hint="eastAsia" w:ascii="仿宋" w:hAnsi="微软雅黑" w:eastAsia="仿宋"/>
          <w:sz w:val="28"/>
          <w:szCs w:val="28"/>
          <w:highlight w:val="none"/>
          <w:lang w:val="en-US" w:eastAsia="zh-CN"/>
        </w:rPr>
        <w:t>增加</w:t>
      </w:r>
      <w:r>
        <w:rPr>
          <w:rFonts w:hint="eastAsia" w:ascii="仿宋" w:hAnsi="微软雅黑" w:eastAsia="仿宋"/>
          <w:sz w:val="28"/>
          <w:szCs w:val="28"/>
          <w:highlight w:val="none"/>
        </w:rPr>
        <w:t>。</w:t>
      </w:r>
    </w:p>
    <w:p>
      <w:pPr>
        <w:pStyle w:val="3"/>
        <w:spacing w:before="0" w:after="0" w:line="560" w:lineRule="exact"/>
        <w:ind w:firstLine="560" w:firstLineChars="200"/>
        <w:rPr>
          <w:rFonts w:hint="default" w:ascii="仿宋" w:hAnsi="华文楷体" w:eastAsia="仿宋"/>
          <w:sz w:val="28"/>
          <w:szCs w:val="28"/>
          <w:highlight w:val="none"/>
        </w:rPr>
      </w:pPr>
      <w:r>
        <w:rPr>
          <w:rFonts w:hint="eastAsia" w:ascii="仿宋" w:hAnsi="华文楷体" w:eastAsia="仿宋"/>
          <w:sz w:val="28"/>
          <w:szCs w:val="28"/>
          <w:highlight w:val="none"/>
          <w:lang w:eastAsia="zh-CN"/>
        </w:rPr>
        <w:t>三、</w:t>
      </w:r>
      <w:r>
        <w:rPr>
          <w:rFonts w:hint="eastAsia" w:ascii="仿宋" w:hAnsi="华文楷体" w:eastAsia="仿宋"/>
          <w:sz w:val="28"/>
          <w:szCs w:val="28"/>
          <w:highlight w:val="none"/>
        </w:rPr>
        <w:t>关于皮山县木奎拉乡卫生院2025年支出预算情况说明</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皮山县木奎拉乡卫生院2025年支出预算1,799.54万元，其中：</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基本支出607.40万元，占33.75%，比上年预算减少61.57万元，下降9.20%，主要原因是上年度在职人员退休，减少医疗保险、失业保险、工伤保险，养老保险缴费支出。</w:t>
      </w:r>
    </w:p>
    <w:p>
      <w:pPr>
        <w:widowControl/>
        <w:spacing w:line="560" w:lineRule="exact"/>
        <w:ind w:firstLine="560" w:firstLineChars="200"/>
        <w:rPr>
          <w:rFonts w:hint="default" w:ascii="仿宋" w:hAnsi="微软雅黑" w:eastAsia="仿宋"/>
          <w:sz w:val="28"/>
          <w:szCs w:val="28"/>
          <w:highlight w:val="none"/>
          <w:lang w:val="en-US"/>
        </w:rPr>
      </w:pPr>
      <w:r>
        <w:rPr>
          <w:rFonts w:hint="eastAsia" w:ascii="仿宋" w:hAnsi="微软雅黑" w:eastAsia="仿宋"/>
          <w:sz w:val="28"/>
          <w:szCs w:val="28"/>
          <w:highlight w:val="none"/>
        </w:rPr>
        <w:t>项目支出1,192.14万元，占66.25%，比上年预算减少257.40万元，下降17.76%，主要原因</w:t>
      </w:r>
      <w:r>
        <w:rPr>
          <w:rFonts w:hint="eastAsia" w:ascii="仿宋" w:hAnsi="微软雅黑" w:eastAsia="仿宋"/>
          <w:sz w:val="28"/>
          <w:szCs w:val="28"/>
          <w:highlight w:val="none"/>
          <w:lang w:eastAsia="zh-CN"/>
        </w:rPr>
        <w:t>一是</w:t>
      </w:r>
      <w:r>
        <w:rPr>
          <w:rFonts w:hint="eastAsia" w:ascii="仿宋" w:hAnsi="微软雅黑" w:eastAsia="仿宋"/>
          <w:sz w:val="28"/>
          <w:szCs w:val="28"/>
          <w:highlight w:val="none"/>
          <w:lang w:val="en-US" w:eastAsia="zh-CN"/>
        </w:rPr>
        <w:t>2024年上级</w:t>
      </w:r>
      <w:r>
        <w:rPr>
          <w:rFonts w:hint="eastAsia" w:ascii="仿宋" w:hAnsi="微软雅黑" w:eastAsia="仿宋"/>
          <w:sz w:val="28"/>
          <w:szCs w:val="28"/>
          <w:highlight w:val="none"/>
          <w:lang w:eastAsia="zh-CN"/>
        </w:rPr>
        <w:t>专项转移支付资金直接拨付木奎拉卫生院，</w:t>
      </w:r>
      <w:r>
        <w:rPr>
          <w:rFonts w:hint="eastAsia" w:ascii="仿宋" w:hAnsi="微软雅黑" w:eastAsia="仿宋"/>
          <w:sz w:val="28"/>
          <w:szCs w:val="28"/>
          <w:highlight w:val="none"/>
          <w:lang w:val="en-US" w:eastAsia="zh-CN"/>
        </w:rPr>
        <w:t>2025年度上级</w:t>
      </w:r>
      <w:r>
        <w:rPr>
          <w:rFonts w:hint="eastAsia" w:ascii="仿宋" w:hAnsi="微软雅黑" w:eastAsia="仿宋"/>
          <w:sz w:val="28"/>
          <w:szCs w:val="28"/>
          <w:highlight w:val="none"/>
          <w:lang w:eastAsia="zh-CN"/>
        </w:rPr>
        <w:t>专项转移支付资金由卫健委做预算，按照木奎拉卫生院需要统一分配。二是</w:t>
      </w:r>
      <w:r>
        <w:rPr>
          <w:rFonts w:hint="eastAsia" w:ascii="仿宋" w:hAnsi="微软雅黑" w:eastAsia="仿宋"/>
          <w:sz w:val="28"/>
          <w:szCs w:val="28"/>
          <w:highlight w:val="none"/>
          <w:lang w:val="en-US" w:eastAsia="zh-CN"/>
        </w:rPr>
        <w:t>2025年减少政府性基金项目安排。</w:t>
      </w:r>
    </w:p>
    <w:p>
      <w:pPr>
        <w:pStyle w:val="3"/>
        <w:numPr>
          <w:numId w:val="0"/>
        </w:numPr>
        <w:spacing w:before="0" w:after="0" w:line="560" w:lineRule="exact"/>
        <w:ind w:firstLine="560" w:firstLineChars="200"/>
        <w:rPr>
          <w:rFonts w:hint="default" w:ascii="仿宋" w:hAnsi="华文楷体" w:eastAsia="仿宋"/>
          <w:sz w:val="28"/>
          <w:szCs w:val="28"/>
          <w:highlight w:val="none"/>
        </w:rPr>
      </w:pPr>
      <w:r>
        <w:rPr>
          <w:rFonts w:hint="eastAsia" w:ascii="仿宋" w:hAnsi="华文楷体" w:eastAsia="仿宋"/>
          <w:sz w:val="28"/>
          <w:szCs w:val="28"/>
          <w:highlight w:val="none"/>
          <w:lang w:eastAsia="zh-CN"/>
        </w:rPr>
        <w:t>四、</w:t>
      </w:r>
      <w:r>
        <w:rPr>
          <w:rFonts w:hint="eastAsia" w:ascii="仿宋" w:hAnsi="华文楷体" w:eastAsia="仿宋"/>
          <w:sz w:val="28"/>
          <w:szCs w:val="28"/>
          <w:highlight w:val="none"/>
        </w:rPr>
        <w:t>关于皮山县木奎拉乡卫生院2025年财政拨款收支预算情况的总体说明</w:t>
      </w:r>
    </w:p>
    <w:p>
      <w:pPr>
        <w:widowControl/>
        <w:spacing w:before="156" w:beforeLines="50" w:after="156" w:afterLines="50"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2025年财政拨款收支总预算607.40万元。</w:t>
      </w:r>
    </w:p>
    <w:p>
      <w:pPr>
        <w:widowControl/>
        <w:spacing w:before="156" w:beforeLines="50" w:after="156" w:afterLines="50"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收入全部为一般公共预算拨款，无政府性基金预算拨款和国有资本经营预算。</w:t>
      </w:r>
    </w:p>
    <w:p>
      <w:pPr>
        <w:widowControl/>
        <w:spacing w:before="156" w:beforeLines="50" w:after="156" w:afterLines="50"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收入预算包括：一般公共预算拨款607.40万元。</w:t>
      </w:r>
    </w:p>
    <w:p>
      <w:pPr>
        <w:widowControl/>
        <w:spacing w:before="156" w:beforeLines="50" w:after="156" w:afterLines="50"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一般公共预算支出包括：社会保障和就业支出77.45万元，主要用于在职人员社会保障和就业支出；卫生健康支出482.62万元，主要用于在职人员医疗卫生健康支出；住房保障支出47.33万元，主要用于在职人员住房公积金支出。</w:t>
      </w:r>
    </w:p>
    <w:p>
      <w:pPr>
        <w:pStyle w:val="3"/>
        <w:numPr>
          <w:numId w:val="0"/>
        </w:numPr>
        <w:spacing w:before="0" w:after="0" w:line="560" w:lineRule="exact"/>
        <w:ind w:leftChars="201"/>
        <w:rPr>
          <w:rFonts w:hint="default" w:ascii="仿宋" w:hAnsi="华文楷体" w:eastAsia="仿宋"/>
          <w:sz w:val="28"/>
          <w:szCs w:val="28"/>
          <w:highlight w:val="none"/>
        </w:rPr>
      </w:pPr>
      <w:r>
        <w:rPr>
          <w:rFonts w:hint="eastAsia" w:ascii="仿宋" w:hAnsi="华文楷体" w:eastAsia="仿宋"/>
          <w:sz w:val="28"/>
          <w:szCs w:val="28"/>
          <w:highlight w:val="none"/>
          <w:lang w:eastAsia="zh-CN"/>
        </w:rPr>
        <w:t>五、</w:t>
      </w:r>
      <w:r>
        <w:rPr>
          <w:rFonts w:hint="eastAsia" w:ascii="仿宋" w:hAnsi="华文楷体" w:eastAsia="仿宋"/>
          <w:sz w:val="28"/>
          <w:szCs w:val="28"/>
          <w:highlight w:val="none"/>
        </w:rPr>
        <w:t>关于皮山县木奎拉乡卫生院2025年一般公共预算当年拨款情况说明</w:t>
      </w:r>
    </w:p>
    <w:p>
      <w:pPr>
        <w:widowControl/>
        <w:spacing w:line="560" w:lineRule="exact"/>
        <w:ind w:firstLine="560" w:firstLineChars="200"/>
        <w:rPr>
          <w:rFonts w:hint="default" w:ascii="仿宋" w:hAnsi="微软雅黑" w:eastAsia="仿宋"/>
          <w:b/>
          <w:sz w:val="28"/>
          <w:szCs w:val="28"/>
          <w:highlight w:val="none"/>
        </w:rPr>
      </w:pPr>
      <w:r>
        <w:rPr>
          <w:rFonts w:hint="eastAsia" w:ascii="仿宋" w:hAnsi="微软雅黑" w:eastAsia="仿宋"/>
          <w:b/>
          <w:sz w:val="28"/>
          <w:szCs w:val="28"/>
          <w:highlight w:val="none"/>
        </w:rPr>
        <w:t>（一）一般公共预算当年拨款规模变化情况</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皮山县木奎拉乡卫生院2025年一般公共预算拨款合计607.40万元，其中：</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基本支出607.40万元，比上年预算减少61.57万元，下降9.20%，主要原因是上年度安排津贴补贴补发预算</w:t>
      </w:r>
      <w:r>
        <w:rPr>
          <w:rFonts w:hint="eastAsia" w:ascii="仿宋" w:hAnsi="微软雅黑" w:eastAsia="仿宋"/>
          <w:sz w:val="28"/>
          <w:szCs w:val="28"/>
          <w:highlight w:val="none"/>
          <w:lang w:eastAsia="zh-CN"/>
        </w:rPr>
        <w:t>，本年无补发，预算减少</w:t>
      </w:r>
      <w:r>
        <w:rPr>
          <w:rFonts w:hint="eastAsia" w:ascii="仿宋" w:hAnsi="微软雅黑" w:eastAsia="仿宋"/>
          <w:sz w:val="28"/>
          <w:szCs w:val="28"/>
          <w:highlight w:val="none"/>
        </w:rPr>
        <w:t>。</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项目支出0.00万元，比上年预算减少361.75万元，下降100.00%，主要原因是部门重点工作优化调整，项目经费预算申请比上年减少，所以项目支出安排预算比上年有所减少。</w:t>
      </w:r>
    </w:p>
    <w:p>
      <w:pPr>
        <w:widowControl/>
        <w:spacing w:line="560" w:lineRule="exact"/>
        <w:ind w:firstLine="560" w:firstLineChars="200"/>
        <w:rPr>
          <w:rFonts w:hint="default" w:ascii="仿宋" w:hAnsi="微软雅黑" w:eastAsia="仿宋"/>
          <w:b/>
          <w:sz w:val="28"/>
          <w:szCs w:val="28"/>
          <w:highlight w:val="none"/>
        </w:rPr>
      </w:pPr>
      <w:r>
        <w:rPr>
          <w:rFonts w:hint="eastAsia" w:ascii="仿宋" w:hAnsi="微软雅黑" w:eastAsia="仿宋"/>
          <w:b/>
          <w:sz w:val="28"/>
          <w:szCs w:val="28"/>
          <w:highlight w:val="none"/>
        </w:rPr>
        <w:t>（二）一般公共预算当年拨款结构情况</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1、社会保障和就业支出（类）77.45万元，占12.75%。</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2、卫生健康支出（类）482.62万元，占79.46%。</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3、住房保障支出（类）47.33万元，占7.79%。</w:t>
      </w:r>
    </w:p>
    <w:p>
      <w:pPr>
        <w:widowControl/>
        <w:spacing w:line="560" w:lineRule="exact"/>
        <w:ind w:firstLine="560" w:firstLineChars="200"/>
        <w:rPr>
          <w:rFonts w:hint="default" w:ascii="仿宋" w:hAnsi="微软雅黑" w:eastAsia="仿宋"/>
          <w:b/>
          <w:sz w:val="28"/>
          <w:szCs w:val="28"/>
          <w:highlight w:val="none"/>
        </w:rPr>
      </w:pPr>
      <w:r>
        <w:rPr>
          <w:rFonts w:hint="eastAsia" w:ascii="仿宋" w:hAnsi="微软雅黑" w:eastAsia="仿宋"/>
          <w:b/>
          <w:sz w:val="28"/>
          <w:szCs w:val="28"/>
          <w:highlight w:val="none"/>
        </w:rPr>
        <w:t>（三）一般公共预算当年拨款具体使用情况</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1、社会保障和就业支出（类）行政事业单位养老支出（款）事业单位离退休（项）：2025年预算数为4.34万元，比上年预算减少1.01万元，下降18.88%，主要原因是本年</w:t>
      </w:r>
      <w:r>
        <w:rPr>
          <w:rFonts w:hint="eastAsia" w:ascii="仿宋" w:hAnsi="微软雅黑" w:eastAsia="仿宋"/>
          <w:sz w:val="28"/>
          <w:szCs w:val="28"/>
          <w:highlight w:val="none"/>
          <w:lang w:val="en-US" w:eastAsia="zh-CN"/>
        </w:rPr>
        <w:t>不做退休人员医疗保险支出预算，预算减少</w:t>
      </w:r>
      <w:r>
        <w:rPr>
          <w:rFonts w:hint="eastAsia" w:ascii="仿宋" w:hAnsi="微软雅黑" w:eastAsia="仿宋"/>
          <w:sz w:val="28"/>
          <w:szCs w:val="28"/>
          <w:highlight w:val="none"/>
        </w:rPr>
        <w:t>。</w:t>
      </w:r>
    </w:p>
    <w:p>
      <w:pPr>
        <w:widowControl/>
        <w:spacing w:line="560" w:lineRule="exact"/>
        <w:ind w:firstLine="560" w:firstLineChars="200"/>
        <w:rPr>
          <w:rFonts w:hint="eastAsia" w:ascii="仿宋" w:hAnsi="微软雅黑" w:eastAsia="仿宋"/>
          <w:sz w:val="28"/>
          <w:szCs w:val="28"/>
          <w:highlight w:val="none"/>
          <w:lang w:val="en-US" w:eastAsia="zh-CN"/>
        </w:rPr>
      </w:pPr>
      <w:r>
        <w:rPr>
          <w:rFonts w:hint="eastAsia" w:ascii="仿宋" w:hAnsi="微软雅黑" w:eastAsia="仿宋"/>
          <w:sz w:val="28"/>
          <w:szCs w:val="28"/>
          <w:highlight w:val="none"/>
        </w:rPr>
        <w:t>2、社会保障和就业支出（类）行政事业单位养老支出（款）机关事业单位基本养老保险缴费支出（项）：2025年预算数为63.10万元，比上年预算减少46.25万元，下降42.30%，主要原因是</w:t>
      </w:r>
      <w:r>
        <w:rPr>
          <w:rFonts w:hint="eastAsia" w:ascii="仿宋" w:hAnsi="微软雅黑" w:eastAsia="仿宋"/>
          <w:sz w:val="28"/>
          <w:szCs w:val="28"/>
          <w:highlight w:val="none"/>
          <w:lang w:eastAsia="zh-CN"/>
        </w:rPr>
        <w:t>木奎拉乡</w:t>
      </w:r>
      <w:r>
        <w:rPr>
          <w:rFonts w:hint="eastAsia" w:ascii="仿宋" w:hAnsi="微软雅黑" w:eastAsia="仿宋"/>
          <w:sz w:val="28"/>
          <w:szCs w:val="28"/>
          <w:highlight w:val="none"/>
        </w:rPr>
        <w:t>卫生院</w:t>
      </w:r>
      <w:r>
        <w:rPr>
          <w:rFonts w:hint="eastAsia" w:ascii="仿宋" w:hAnsi="微软雅黑" w:eastAsia="仿宋"/>
          <w:sz w:val="28"/>
          <w:szCs w:val="28"/>
          <w:highlight w:val="none"/>
          <w:lang w:val="en-US" w:eastAsia="zh-CN"/>
        </w:rPr>
        <w:t>去年年初因</w:t>
      </w:r>
      <w:r>
        <w:rPr>
          <w:rFonts w:hint="eastAsia" w:ascii="仿宋" w:hAnsi="微软雅黑" w:eastAsia="仿宋"/>
          <w:sz w:val="28"/>
          <w:szCs w:val="28"/>
          <w:highlight w:val="none"/>
        </w:rPr>
        <w:t>基本养老保险缴费支出</w:t>
      </w:r>
      <w:r>
        <w:rPr>
          <w:rFonts w:hint="eastAsia" w:ascii="仿宋" w:hAnsi="微软雅黑" w:eastAsia="仿宋"/>
          <w:sz w:val="28"/>
          <w:szCs w:val="28"/>
          <w:highlight w:val="none"/>
          <w:lang w:val="en-US" w:eastAsia="zh-CN"/>
        </w:rPr>
        <w:t>从事业收入里支出，因此年初</w:t>
      </w:r>
      <w:r>
        <w:rPr>
          <w:rFonts w:hint="eastAsia" w:ascii="仿宋" w:hAnsi="微软雅黑" w:eastAsia="仿宋"/>
          <w:sz w:val="28"/>
          <w:szCs w:val="28"/>
          <w:highlight w:val="none"/>
        </w:rPr>
        <w:t>机关事业单位基本养老保险缴费支出</w:t>
      </w:r>
      <w:r>
        <w:rPr>
          <w:rFonts w:hint="eastAsia" w:ascii="仿宋" w:hAnsi="微软雅黑" w:eastAsia="仿宋"/>
          <w:sz w:val="28"/>
          <w:szCs w:val="28"/>
          <w:highlight w:val="none"/>
          <w:lang w:val="en-US" w:eastAsia="zh-CN"/>
        </w:rPr>
        <w:t>率下降。</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3、社会保障和就业支出（类）行政事业单位养老支出（款）机关事业单位职业年金缴费支出（项）：2025年预算数为10.00万元，比上年预算减少5.00万元，下降33.33%，主要原因是</w:t>
      </w:r>
      <w:r>
        <w:rPr>
          <w:rFonts w:hint="eastAsia" w:ascii="仿宋" w:hAnsi="微软雅黑" w:eastAsia="仿宋"/>
          <w:sz w:val="28"/>
          <w:szCs w:val="28"/>
          <w:highlight w:val="none"/>
          <w:lang w:val="en-US" w:eastAsia="zh-CN"/>
        </w:rPr>
        <w:t>2024年有退休人员，职业年金预算安排数大，2025年无退休人员</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lang w:val="en-US" w:eastAsia="zh-CN"/>
        </w:rPr>
        <w:t>职业年金预算减少</w:t>
      </w:r>
      <w:r>
        <w:rPr>
          <w:rFonts w:hint="eastAsia" w:ascii="仿宋" w:hAnsi="微软雅黑" w:eastAsia="仿宋"/>
          <w:sz w:val="28"/>
          <w:szCs w:val="28"/>
          <w:highlight w:val="none"/>
        </w:rPr>
        <w:t>。</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4、卫生健康支出（类）卫生健康管理事务（款）其他卫生健康管理事务支出（项）：2025年预算数为0.00万元，比上年预算减少40.61万元，下降100.00%，主要原因是今年要求做明细科目，其他卫生健康管理事务支出（项）</w:t>
      </w:r>
      <w:r>
        <w:rPr>
          <w:rFonts w:hint="eastAsia" w:ascii="仿宋" w:hAnsi="微软雅黑" w:eastAsia="仿宋"/>
          <w:sz w:val="28"/>
          <w:szCs w:val="28"/>
          <w:highlight w:val="none"/>
          <w:lang w:eastAsia="zh-CN"/>
        </w:rPr>
        <w:t>未</w:t>
      </w:r>
      <w:r>
        <w:rPr>
          <w:rFonts w:hint="eastAsia" w:ascii="仿宋" w:hAnsi="微软雅黑" w:eastAsia="仿宋"/>
          <w:sz w:val="28"/>
          <w:szCs w:val="28"/>
          <w:highlight w:val="none"/>
        </w:rPr>
        <w:t>纳入当年预算。</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5、卫生健康支出（类）基层医疗卫生机构（款）乡镇卫生院（项）：2025年预算数为456.99万元，比上年预算减少0.27万元，下降0.06%，主要原因是</w:t>
      </w:r>
      <w:r>
        <w:rPr>
          <w:rFonts w:hint="eastAsia" w:ascii="仿宋" w:hAnsi="微软雅黑" w:eastAsia="仿宋"/>
          <w:sz w:val="28"/>
          <w:szCs w:val="28"/>
          <w:highlight w:val="none"/>
          <w:lang w:eastAsia="zh-CN"/>
        </w:rPr>
        <w:t>木奎拉乡</w:t>
      </w:r>
      <w:r>
        <w:rPr>
          <w:rFonts w:hint="eastAsia" w:ascii="仿宋" w:hAnsi="微软雅黑" w:eastAsia="仿宋"/>
          <w:sz w:val="28"/>
          <w:szCs w:val="28"/>
          <w:highlight w:val="none"/>
        </w:rPr>
        <w:t>卫生院本年安排卫生健康支出减少。</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6、卫生健康支出（类）基层医疗卫生机构（款）其他基层医疗卫生机构支出（项）：2025年预算数为0.00万元，比上年预算减少27.05万元，下降100.00%，主要原因是今年要求做明细科目，没有其他基层医疗卫生机构支出。</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7、卫生健康支出（类）公共卫生（款）基本公共卫生服务（项）：2025年预算数为0.00万元，比上年预算减少184.54万元，下降100.00%，主要原因是今年还未指定卫生健康支出（类）公共卫生（款）基本公共卫生服务项目。</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8、卫生健康支出（类）公共卫生（款）重大公共卫生服务（项）：2025年预算数为0.00万元，比上年预算减少109.55万元，下降100.00%，主要原因是今年还未指定卫生健康支出（类）公共卫生（款）重大公共卫生服务项目。</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9、卫生健康支出（类）行政事业单位医疗（款）事业单位医疗（项）：2025年预算数为25.64万元，比上年预算增加25.64万元，增长100.00%，主要原因是</w:t>
      </w:r>
      <w:r>
        <w:rPr>
          <w:rFonts w:hint="eastAsia" w:ascii="仿宋" w:hAnsi="微软雅黑" w:eastAsia="仿宋"/>
          <w:sz w:val="28"/>
          <w:szCs w:val="28"/>
          <w:highlight w:val="none"/>
          <w:lang w:eastAsia="zh-CN"/>
        </w:rPr>
        <w:t>木奎拉乡</w:t>
      </w:r>
      <w:r>
        <w:rPr>
          <w:rFonts w:hint="eastAsia" w:ascii="仿宋" w:hAnsi="微软雅黑" w:eastAsia="仿宋"/>
          <w:sz w:val="28"/>
          <w:szCs w:val="28"/>
          <w:highlight w:val="none"/>
        </w:rPr>
        <w:t>卫生院上一年度没有安排事业单位医疗支出。</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10、住房保障支出（类）住房改革支出（款）住房公积金（项）：2025年预算数为47.33万元，比上年预算减少34.68万元，下降42.29%，主要原因是</w:t>
      </w:r>
      <w:r>
        <w:rPr>
          <w:rFonts w:hint="eastAsia" w:ascii="仿宋" w:hAnsi="微软雅黑" w:eastAsia="仿宋"/>
          <w:sz w:val="28"/>
          <w:szCs w:val="28"/>
          <w:highlight w:val="none"/>
          <w:lang w:eastAsia="zh-CN"/>
        </w:rPr>
        <w:t>木奎拉乡</w:t>
      </w:r>
      <w:r>
        <w:rPr>
          <w:rFonts w:hint="eastAsia" w:ascii="仿宋" w:hAnsi="微软雅黑" w:eastAsia="仿宋"/>
          <w:sz w:val="28"/>
          <w:szCs w:val="28"/>
          <w:highlight w:val="none"/>
        </w:rPr>
        <w:t>卫生院本年</w:t>
      </w:r>
      <w:r>
        <w:rPr>
          <w:rFonts w:hint="eastAsia" w:ascii="仿宋" w:hAnsi="微软雅黑" w:eastAsia="仿宋"/>
          <w:sz w:val="28"/>
          <w:szCs w:val="28"/>
          <w:highlight w:val="none"/>
          <w:lang w:val="en-US" w:eastAsia="zh-CN"/>
        </w:rPr>
        <w:t>减少在职人员</w:t>
      </w:r>
      <w:r>
        <w:rPr>
          <w:rFonts w:hint="eastAsia" w:ascii="仿宋" w:hAnsi="微软雅黑" w:eastAsia="仿宋"/>
          <w:sz w:val="28"/>
          <w:szCs w:val="28"/>
          <w:highlight w:val="none"/>
        </w:rPr>
        <w:t>。</w:t>
      </w:r>
    </w:p>
    <w:p>
      <w:pPr>
        <w:pStyle w:val="3"/>
        <w:numPr>
          <w:numId w:val="0"/>
        </w:numPr>
        <w:spacing w:before="0" w:after="0" w:line="560" w:lineRule="exact"/>
        <w:ind w:leftChars="201" w:firstLine="280" w:firstLineChars="100"/>
        <w:rPr>
          <w:rFonts w:hint="default" w:ascii="仿宋" w:hAnsi="华文楷体" w:eastAsia="仿宋"/>
          <w:sz w:val="28"/>
          <w:szCs w:val="28"/>
          <w:highlight w:val="none"/>
        </w:rPr>
      </w:pPr>
      <w:r>
        <w:rPr>
          <w:rFonts w:hint="eastAsia" w:ascii="仿宋" w:hAnsi="华文楷体" w:eastAsia="仿宋"/>
          <w:sz w:val="28"/>
          <w:szCs w:val="28"/>
          <w:highlight w:val="none"/>
          <w:lang w:eastAsia="zh-CN"/>
        </w:rPr>
        <w:t>六、</w:t>
      </w:r>
      <w:r>
        <w:rPr>
          <w:rFonts w:hint="eastAsia" w:ascii="仿宋" w:hAnsi="华文楷体" w:eastAsia="仿宋"/>
          <w:sz w:val="28"/>
          <w:szCs w:val="28"/>
          <w:highlight w:val="none"/>
        </w:rPr>
        <w:t>关于皮山县木奎拉乡卫生院2025年一般公共预算基本支出情况说明</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皮山县木奎拉乡卫生院2025年一般公共预算基本支出607.40万元，其中：</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人员经费607.40万元，主要包括：基本工资、津贴补贴、奖金、绩效工资、机关事业单位基本养老保险缴费、职业年金缴费、职工基本医疗保险缴费、其他社会保障缴费、住房公积金、退休费、生活补助。</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公用经费0.00万元。</w:t>
      </w:r>
    </w:p>
    <w:p>
      <w:pPr>
        <w:pStyle w:val="3"/>
        <w:numPr>
          <w:numId w:val="0"/>
        </w:numPr>
        <w:spacing w:before="0" w:after="0" w:line="560" w:lineRule="exact"/>
        <w:ind w:leftChars="201"/>
        <w:rPr>
          <w:rFonts w:hint="default" w:ascii="仿宋" w:hAnsi="华文楷体" w:eastAsia="仿宋"/>
          <w:sz w:val="28"/>
          <w:szCs w:val="28"/>
          <w:highlight w:val="none"/>
        </w:rPr>
      </w:pPr>
      <w:r>
        <w:rPr>
          <w:rFonts w:hint="eastAsia" w:ascii="仿宋" w:hAnsi="华文楷体" w:eastAsia="仿宋"/>
          <w:sz w:val="28"/>
          <w:szCs w:val="28"/>
          <w:highlight w:val="none"/>
          <w:lang w:eastAsia="zh-CN"/>
        </w:rPr>
        <w:t>七、</w:t>
      </w:r>
      <w:r>
        <w:rPr>
          <w:rFonts w:hint="eastAsia" w:ascii="仿宋" w:hAnsi="华文楷体" w:eastAsia="仿宋"/>
          <w:sz w:val="28"/>
          <w:szCs w:val="28"/>
          <w:highlight w:val="none"/>
        </w:rPr>
        <w:t>关于皮山县木奎拉乡卫生院2025年一般公共预算项目支出情况说明</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皮山县木奎拉乡卫生院2025年没有使用一般公共预算安排项目支出，一般公共预算项目支出情况表为空表。</w:t>
      </w:r>
    </w:p>
    <w:p>
      <w:pPr>
        <w:pStyle w:val="3"/>
        <w:numPr>
          <w:numId w:val="0"/>
        </w:numPr>
        <w:spacing w:before="0" w:after="0" w:line="560" w:lineRule="exact"/>
        <w:ind w:leftChars="201"/>
        <w:rPr>
          <w:rFonts w:hint="default" w:ascii="仿宋" w:hAnsi="华文楷体" w:eastAsia="仿宋"/>
          <w:sz w:val="28"/>
          <w:szCs w:val="28"/>
          <w:highlight w:val="none"/>
        </w:rPr>
      </w:pPr>
      <w:r>
        <w:rPr>
          <w:rFonts w:hint="eastAsia" w:ascii="仿宋" w:hAnsi="华文楷体" w:eastAsia="仿宋"/>
          <w:sz w:val="28"/>
          <w:szCs w:val="28"/>
          <w:highlight w:val="none"/>
          <w:lang w:eastAsia="zh-CN"/>
        </w:rPr>
        <w:t>八、</w:t>
      </w:r>
      <w:r>
        <w:rPr>
          <w:rFonts w:hint="eastAsia" w:ascii="仿宋" w:hAnsi="华文楷体" w:eastAsia="仿宋"/>
          <w:sz w:val="28"/>
          <w:szCs w:val="28"/>
          <w:highlight w:val="none"/>
        </w:rPr>
        <w:t>关于皮山县木奎拉乡卫生院2025年政府性基金预算拨款情况说明</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皮山县木奎拉乡卫生院2025年政府性基金支出预算支出0.00万元。与上年预算相比减少0.41万元，减少100.00%。主要原因是2025年没有使用政府性基金预算拨款安排的支出，政府性基金预算支出情况表为空表。其中：</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皮山县木奎拉乡卫生院2025年没有使用政府性基金预算拨款安排的支出，政府性基金预算支出情况表为空表。</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1、其他支出（类）彩票公益金安排的支出（款）用于社会福利的彩票公益金支出（项）支出0.00万元，与上年预算相比减少0.41万元，减少100.00%。主要原因是</w:t>
      </w:r>
      <w:r>
        <w:rPr>
          <w:rFonts w:hint="eastAsia" w:ascii="仿宋" w:hAnsi="微软雅黑" w:eastAsia="仿宋"/>
          <w:sz w:val="28"/>
          <w:szCs w:val="28"/>
          <w:highlight w:val="none"/>
          <w:lang w:eastAsia="zh-CN"/>
        </w:rPr>
        <w:t>本</w:t>
      </w:r>
      <w:r>
        <w:rPr>
          <w:rFonts w:hint="eastAsia" w:ascii="仿宋" w:hAnsi="微软雅黑" w:eastAsia="仿宋"/>
          <w:sz w:val="28"/>
          <w:szCs w:val="28"/>
          <w:highlight w:val="none"/>
        </w:rPr>
        <w:t>年度</w:t>
      </w:r>
      <w:r>
        <w:rPr>
          <w:rFonts w:hint="eastAsia" w:ascii="仿宋" w:hAnsi="微软雅黑" w:eastAsia="仿宋"/>
          <w:sz w:val="28"/>
          <w:szCs w:val="28"/>
          <w:highlight w:val="none"/>
          <w:lang w:eastAsia="zh-CN"/>
        </w:rPr>
        <w:t>未安排</w:t>
      </w:r>
      <w:r>
        <w:rPr>
          <w:rFonts w:hint="eastAsia" w:ascii="仿宋" w:hAnsi="微软雅黑" w:eastAsia="仿宋"/>
          <w:sz w:val="28"/>
          <w:szCs w:val="28"/>
          <w:highlight w:val="none"/>
        </w:rPr>
        <w:t>社会福利的彩票公益金</w:t>
      </w:r>
      <w:r>
        <w:rPr>
          <w:rFonts w:hint="eastAsia" w:ascii="仿宋" w:hAnsi="微软雅黑" w:eastAsia="仿宋"/>
          <w:sz w:val="28"/>
          <w:szCs w:val="28"/>
          <w:highlight w:val="none"/>
          <w:lang w:eastAsia="zh-CN"/>
        </w:rPr>
        <w:t>预算</w:t>
      </w:r>
      <w:r>
        <w:rPr>
          <w:rFonts w:hint="eastAsia" w:ascii="仿宋" w:hAnsi="微软雅黑" w:eastAsia="仿宋"/>
          <w:sz w:val="28"/>
          <w:szCs w:val="28"/>
          <w:highlight w:val="none"/>
        </w:rPr>
        <w:t>。</w:t>
      </w:r>
    </w:p>
    <w:p>
      <w:pPr>
        <w:pStyle w:val="3"/>
        <w:numPr>
          <w:numId w:val="0"/>
        </w:numPr>
        <w:spacing w:before="0" w:after="0" w:line="560" w:lineRule="exact"/>
        <w:ind w:leftChars="201"/>
        <w:rPr>
          <w:rFonts w:hint="default" w:ascii="仿宋" w:hAnsi="华文楷体" w:eastAsia="仿宋"/>
          <w:sz w:val="28"/>
          <w:szCs w:val="28"/>
          <w:highlight w:val="none"/>
        </w:rPr>
      </w:pPr>
      <w:r>
        <w:rPr>
          <w:rFonts w:hint="eastAsia" w:ascii="仿宋" w:hAnsi="华文楷体" w:eastAsia="仿宋"/>
          <w:sz w:val="28"/>
          <w:szCs w:val="28"/>
          <w:highlight w:val="none"/>
          <w:lang w:eastAsia="zh-CN"/>
        </w:rPr>
        <w:t>九、</w:t>
      </w:r>
      <w:r>
        <w:rPr>
          <w:rFonts w:hint="eastAsia" w:ascii="仿宋" w:hAnsi="华文楷体" w:eastAsia="仿宋"/>
          <w:sz w:val="28"/>
          <w:szCs w:val="28"/>
          <w:highlight w:val="none"/>
        </w:rPr>
        <w:t>关于皮山县木奎拉乡卫生院2025年国有资本经营预算拨款情况说明</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皮山县木奎拉乡卫生院2025年没有使用国有资本经营预算拨款安排的支出，国有资本经营预算支出情况表为空表。</w:t>
      </w:r>
    </w:p>
    <w:p>
      <w:pPr>
        <w:pStyle w:val="3"/>
        <w:numPr>
          <w:numId w:val="0"/>
        </w:numPr>
        <w:spacing w:before="0" w:after="0" w:line="560" w:lineRule="exact"/>
        <w:ind w:leftChars="201"/>
        <w:rPr>
          <w:rFonts w:hint="default" w:ascii="仿宋" w:hAnsi="华文楷体" w:eastAsia="仿宋"/>
          <w:sz w:val="28"/>
          <w:szCs w:val="28"/>
          <w:highlight w:val="none"/>
        </w:rPr>
      </w:pPr>
      <w:r>
        <w:rPr>
          <w:rFonts w:hint="eastAsia" w:ascii="仿宋" w:hAnsi="华文楷体" w:eastAsia="仿宋"/>
          <w:sz w:val="28"/>
          <w:szCs w:val="28"/>
          <w:highlight w:val="none"/>
          <w:lang w:eastAsia="zh-CN"/>
        </w:rPr>
        <w:t>十、</w:t>
      </w:r>
      <w:r>
        <w:rPr>
          <w:rFonts w:hint="eastAsia" w:ascii="仿宋" w:hAnsi="华文楷体" w:eastAsia="仿宋"/>
          <w:sz w:val="28"/>
          <w:szCs w:val="28"/>
          <w:highlight w:val="none"/>
        </w:rPr>
        <w:t>关于皮山县木奎拉乡卫生院2025年财政拨款“三公”经费预算情况说明</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皮山县木奎拉乡卫生院2025年财政拨款“三公”经费数为0.00万元，其中：因公出国（境）费0.00万元，公务用车购置费0.00万元，公务用车运行费0.00万元，公务接待费0.00万元。</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2025年财政拨款“三公”经费预算比上年预算增加0.00万元，增长0.00%，其中：因公出国（境）费增加0.00万元，增长0.00%，主要原因是2024年与2025年均未安排因公出国（境）费用；公务用车购置费增加0.00万元，增长0.00%，主要原因是2024年与2025年均未安排公务用车购置；公务用车运行费增加0.00万元，增长0.00%，主要原因是2024年与2025年均未安排公务用车运行维护费；公务接待费增加0.00万元，增长0.00%，主要原因是2024年与2025年均未安排公务接待费。</w:t>
      </w:r>
    </w:p>
    <w:p>
      <w:pPr>
        <w:pStyle w:val="3"/>
        <w:numPr>
          <w:numId w:val="0"/>
        </w:numPr>
        <w:spacing w:before="0" w:after="0" w:line="560" w:lineRule="exact"/>
        <w:ind w:leftChars="201"/>
        <w:rPr>
          <w:rFonts w:hint="default" w:ascii="仿宋" w:hAnsi="华文楷体" w:eastAsia="仿宋"/>
          <w:sz w:val="28"/>
          <w:szCs w:val="28"/>
          <w:highlight w:val="none"/>
        </w:rPr>
      </w:pPr>
      <w:r>
        <w:rPr>
          <w:rFonts w:hint="eastAsia" w:ascii="仿宋" w:hAnsi="华文楷体" w:eastAsia="仿宋"/>
          <w:sz w:val="28"/>
          <w:szCs w:val="28"/>
          <w:highlight w:val="none"/>
          <w:lang w:eastAsia="zh-CN"/>
        </w:rPr>
        <w:t>十一、</w:t>
      </w:r>
      <w:r>
        <w:rPr>
          <w:rFonts w:hint="eastAsia" w:ascii="仿宋" w:hAnsi="华文楷体" w:eastAsia="仿宋"/>
          <w:sz w:val="28"/>
          <w:szCs w:val="28"/>
          <w:highlight w:val="none"/>
        </w:rPr>
        <w:t>关于皮山县木奎拉乡卫生院2025年上年结转结余预算情况说明</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皮山县木奎拉乡卫生院2025年上年结转结余92.14万元，包括：财政拨款92.14万元，非财政拨款0.00万元，其中：</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1．2022年中央重大传染病防控补助资金  3.45万元，主要用于：皮山县木奎拉乡卫生院重大传染病防控工作支出。</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2．2022年自治区公共卫生服务（地方公共卫生）补助资金  19.80万元，主要用于：皮山县木奎拉乡卫生院全民健康体检服务工作支出。</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3．2022年自治区医疗服务与保障能力提升（卫生健康人才队伍建设）补助资金  3.24万元，主要用于：皮山县木奎拉乡卫生院村医生生活补助费。</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4．2023年基本公共卫生服务中央财政补助资金</w:t>
      </w:r>
      <w:r>
        <w:rPr>
          <w:rFonts w:hint="eastAsia" w:ascii="仿宋" w:hAnsi="微软雅黑" w:eastAsia="仿宋"/>
          <w:sz w:val="28"/>
          <w:szCs w:val="28"/>
          <w:highlight w:val="none"/>
          <w:lang w:eastAsia="zh-CN"/>
        </w:rPr>
        <w:t>（和地财</w:t>
      </w:r>
      <w:r>
        <w:rPr>
          <w:rFonts w:hint="eastAsia" w:ascii="仿宋" w:hAnsi="微软雅黑" w:eastAsia="仿宋"/>
          <w:sz w:val="28"/>
          <w:szCs w:val="28"/>
          <w:highlight w:val="none"/>
        </w:rPr>
        <w:t>社</w:t>
      </w:r>
      <w:r>
        <w:rPr>
          <w:rFonts w:hint="eastAsia" w:ascii="仿宋" w:hAnsi="微软雅黑" w:eastAsia="仿宋"/>
          <w:sz w:val="28"/>
          <w:szCs w:val="28"/>
          <w:highlight w:val="none"/>
          <w:lang w:eastAsia="zh-CN"/>
        </w:rPr>
        <w:t>〔2022〕</w:t>
      </w:r>
      <w:r>
        <w:rPr>
          <w:rFonts w:hint="eastAsia" w:ascii="仿宋" w:hAnsi="微软雅黑" w:eastAsia="仿宋"/>
          <w:sz w:val="28"/>
          <w:szCs w:val="28"/>
          <w:highlight w:val="none"/>
        </w:rPr>
        <w:t>71</w:t>
      </w:r>
      <w:r>
        <w:rPr>
          <w:rFonts w:hint="eastAsia" w:ascii="仿宋" w:hAnsi="微软雅黑" w:eastAsia="仿宋"/>
          <w:sz w:val="28"/>
          <w:szCs w:val="28"/>
          <w:highlight w:val="none"/>
          <w:lang w:eastAsia="zh-CN"/>
        </w:rPr>
        <w:t>号）</w:t>
      </w:r>
      <w:r>
        <w:rPr>
          <w:rFonts w:hint="eastAsia" w:ascii="仿宋" w:hAnsi="微软雅黑" w:eastAsia="仿宋"/>
          <w:sz w:val="28"/>
          <w:szCs w:val="28"/>
          <w:highlight w:val="none"/>
        </w:rPr>
        <w:t xml:space="preserve">  0.14万元，主要用于：皮山县木奎拉乡卫生院基本公共卫生服务工作支出。</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5．2023年中央财政第二批重大传染病防控经费</w:t>
      </w:r>
      <w:r>
        <w:rPr>
          <w:rFonts w:hint="eastAsia" w:ascii="仿宋" w:hAnsi="微软雅黑" w:eastAsia="仿宋"/>
          <w:sz w:val="28"/>
          <w:szCs w:val="28"/>
          <w:highlight w:val="none"/>
          <w:lang w:eastAsia="zh-CN"/>
        </w:rPr>
        <w:t>（和地财</w:t>
      </w:r>
      <w:r>
        <w:rPr>
          <w:rFonts w:hint="eastAsia" w:ascii="仿宋" w:hAnsi="微软雅黑" w:eastAsia="仿宋"/>
          <w:sz w:val="28"/>
          <w:szCs w:val="28"/>
          <w:highlight w:val="none"/>
        </w:rPr>
        <w:t>社〔2023〕30</w:t>
      </w:r>
      <w:r>
        <w:rPr>
          <w:rFonts w:hint="eastAsia" w:ascii="仿宋" w:hAnsi="微软雅黑" w:eastAsia="仿宋"/>
          <w:sz w:val="28"/>
          <w:szCs w:val="28"/>
          <w:highlight w:val="none"/>
          <w:lang w:eastAsia="zh-CN"/>
        </w:rPr>
        <w:t>号）</w:t>
      </w:r>
      <w:r>
        <w:rPr>
          <w:rFonts w:hint="eastAsia" w:ascii="仿宋" w:hAnsi="微软雅黑" w:eastAsia="仿宋"/>
          <w:sz w:val="28"/>
          <w:szCs w:val="28"/>
          <w:highlight w:val="none"/>
        </w:rPr>
        <w:t xml:space="preserve">  0.81万元，主要用于：皮山县木奎拉乡卫生院重大传染病防控工作支出。</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6．2023年中央财政基本药物制度补助资金</w:t>
      </w:r>
      <w:r>
        <w:rPr>
          <w:rFonts w:hint="eastAsia" w:ascii="仿宋" w:hAnsi="微软雅黑" w:eastAsia="仿宋"/>
          <w:sz w:val="28"/>
          <w:szCs w:val="28"/>
          <w:highlight w:val="none"/>
          <w:lang w:eastAsia="zh-CN"/>
        </w:rPr>
        <w:t>（和地财</w:t>
      </w:r>
      <w:r>
        <w:rPr>
          <w:rFonts w:hint="eastAsia" w:ascii="仿宋" w:hAnsi="微软雅黑" w:eastAsia="仿宋"/>
          <w:sz w:val="28"/>
          <w:szCs w:val="28"/>
          <w:highlight w:val="none"/>
        </w:rPr>
        <w:t>社〔2022〕72</w:t>
      </w:r>
      <w:r>
        <w:rPr>
          <w:rFonts w:hint="eastAsia" w:ascii="仿宋" w:hAnsi="微软雅黑" w:eastAsia="仿宋"/>
          <w:sz w:val="28"/>
          <w:szCs w:val="28"/>
          <w:highlight w:val="none"/>
          <w:lang w:eastAsia="zh-CN"/>
        </w:rPr>
        <w:t>号）</w:t>
      </w:r>
      <w:r>
        <w:rPr>
          <w:rFonts w:hint="eastAsia" w:ascii="仿宋" w:hAnsi="微软雅黑" w:eastAsia="仿宋"/>
          <w:sz w:val="28"/>
          <w:szCs w:val="28"/>
          <w:highlight w:val="none"/>
        </w:rPr>
        <w:t xml:space="preserve">  1.83万元，主要用于：皮山县木奎拉乡卫生院基本药物补助工作支出。</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7．2023年中央财政重大传染病防治补助资金  3.73万元，主要用于：皮山县木奎拉乡卫生院重大传染病防控工作支出。</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8．2023年中央基本公共卫生服务补助资金（第二批）</w:t>
      </w:r>
      <w:r>
        <w:rPr>
          <w:rFonts w:hint="eastAsia" w:ascii="仿宋" w:hAnsi="微软雅黑" w:eastAsia="仿宋"/>
          <w:sz w:val="28"/>
          <w:szCs w:val="28"/>
          <w:highlight w:val="none"/>
          <w:lang w:eastAsia="zh-CN"/>
        </w:rPr>
        <w:t>（和地财</w:t>
      </w:r>
      <w:r>
        <w:rPr>
          <w:rFonts w:hint="eastAsia" w:ascii="仿宋" w:hAnsi="微软雅黑" w:eastAsia="仿宋"/>
          <w:sz w:val="28"/>
          <w:szCs w:val="28"/>
          <w:highlight w:val="none"/>
        </w:rPr>
        <w:t>社〔2023〕14</w:t>
      </w:r>
      <w:r>
        <w:rPr>
          <w:rFonts w:hint="eastAsia" w:ascii="仿宋" w:hAnsi="微软雅黑" w:eastAsia="仿宋"/>
          <w:sz w:val="28"/>
          <w:szCs w:val="28"/>
          <w:highlight w:val="none"/>
          <w:lang w:eastAsia="zh-CN"/>
        </w:rPr>
        <w:t>号）</w:t>
      </w:r>
      <w:r>
        <w:rPr>
          <w:rFonts w:hint="eastAsia" w:ascii="仿宋" w:hAnsi="微软雅黑" w:eastAsia="仿宋"/>
          <w:sz w:val="28"/>
          <w:szCs w:val="28"/>
          <w:highlight w:val="none"/>
        </w:rPr>
        <w:t xml:space="preserve">  12.63万元，主要用于：皮山县木奎拉乡卫生院基本公共卫生服务工作支出。</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9．2023年中央基本药物补助资金（第二批）</w:t>
      </w:r>
      <w:r>
        <w:rPr>
          <w:rFonts w:hint="eastAsia" w:ascii="仿宋" w:hAnsi="微软雅黑" w:eastAsia="仿宋"/>
          <w:sz w:val="28"/>
          <w:szCs w:val="28"/>
          <w:highlight w:val="none"/>
          <w:lang w:eastAsia="zh-CN"/>
        </w:rPr>
        <w:t>（和地财</w:t>
      </w:r>
      <w:r>
        <w:rPr>
          <w:rFonts w:hint="eastAsia" w:ascii="仿宋" w:hAnsi="微软雅黑" w:eastAsia="仿宋"/>
          <w:sz w:val="28"/>
          <w:szCs w:val="28"/>
          <w:highlight w:val="none"/>
        </w:rPr>
        <w:t>社〔2023〕15</w:t>
      </w:r>
      <w:r>
        <w:rPr>
          <w:rFonts w:hint="eastAsia" w:ascii="仿宋" w:hAnsi="微软雅黑" w:eastAsia="仿宋"/>
          <w:sz w:val="28"/>
          <w:szCs w:val="28"/>
          <w:highlight w:val="none"/>
          <w:lang w:eastAsia="zh-CN"/>
        </w:rPr>
        <w:t>号）</w:t>
      </w:r>
      <w:r>
        <w:rPr>
          <w:rFonts w:hint="eastAsia" w:ascii="仿宋" w:hAnsi="微软雅黑" w:eastAsia="仿宋"/>
          <w:sz w:val="28"/>
          <w:szCs w:val="28"/>
          <w:highlight w:val="none"/>
        </w:rPr>
        <w:t xml:space="preserve">  2.24万元，主要用于：皮山县木奎拉乡卫生院基本药物补助工作支出。</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10．2023年自治区公共卫生服务（地方公共卫生）补助资金  12.48万元，主要用于：皮山县木奎拉乡卫生院全民健康体检服务工作支出。</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11．2023年自治区医疗服务与保障能力提升（卫生健康人才培养）补助资金  1.63万元，主要用于：皮山县木奎拉乡卫生院村医生生活补助费。</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12．2024年基本公共卫生服务中央财政补助资金</w:t>
      </w:r>
      <w:r>
        <w:rPr>
          <w:rFonts w:hint="eastAsia" w:ascii="仿宋" w:hAnsi="微软雅黑" w:eastAsia="仿宋"/>
          <w:sz w:val="28"/>
          <w:szCs w:val="28"/>
          <w:highlight w:val="none"/>
          <w:lang w:eastAsia="zh-CN"/>
        </w:rPr>
        <w:t>（和地财</w:t>
      </w:r>
      <w:r>
        <w:rPr>
          <w:rFonts w:hint="eastAsia" w:ascii="仿宋" w:hAnsi="微软雅黑" w:eastAsia="仿宋"/>
          <w:sz w:val="28"/>
          <w:szCs w:val="28"/>
          <w:highlight w:val="none"/>
        </w:rPr>
        <w:t>社〔2023〕69</w:t>
      </w:r>
      <w:r>
        <w:rPr>
          <w:rFonts w:hint="eastAsia" w:ascii="仿宋" w:hAnsi="微软雅黑" w:eastAsia="仿宋"/>
          <w:sz w:val="28"/>
          <w:szCs w:val="28"/>
          <w:highlight w:val="none"/>
          <w:lang w:eastAsia="zh-CN"/>
        </w:rPr>
        <w:t>号）</w:t>
      </w:r>
      <w:r>
        <w:rPr>
          <w:rFonts w:hint="eastAsia" w:ascii="仿宋" w:hAnsi="微软雅黑" w:eastAsia="仿宋"/>
          <w:sz w:val="28"/>
          <w:szCs w:val="28"/>
          <w:highlight w:val="none"/>
        </w:rPr>
        <w:t xml:space="preserve">  2.45万元，主要用于：皮山县木奎拉乡卫生院基本公共卫生服务工作支出。</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13．2024年基本药物补助资金</w:t>
      </w:r>
      <w:r>
        <w:rPr>
          <w:rFonts w:hint="eastAsia" w:ascii="仿宋" w:hAnsi="微软雅黑" w:eastAsia="仿宋"/>
          <w:sz w:val="28"/>
          <w:szCs w:val="28"/>
          <w:highlight w:val="none"/>
          <w:lang w:eastAsia="zh-CN"/>
        </w:rPr>
        <w:t>（和地财</w:t>
      </w:r>
      <w:r>
        <w:rPr>
          <w:rFonts w:hint="eastAsia" w:ascii="仿宋" w:hAnsi="微软雅黑" w:eastAsia="仿宋"/>
          <w:sz w:val="28"/>
          <w:szCs w:val="28"/>
          <w:highlight w:val="none"/>
        </w:rPr>
        <w:t>社〔2023〕70</w:t>
      </w:r>
      <w:r>
        <w:rPr>
          <w:rFonts w:hint="eastAsia" w:ascii="仿宋" w:hAnsi="微软雅黑" w:eastAsia="仿宋"/>
          <w:sz w:val="28"/>
          <w:szCs w:val="28"/>
          <w:highlight w:val="none"/>
          <w:lang w:eastAsia="zh-CN"/>
        </w:rPr>
        <w:t>号）</w:t>
      </w:r>
      <w:r>
        <w:rPr>
          <w:rFonts w:hint="eastAsia" w:ascii="仿宋" w:hAnsi="微软雅黑" w:eastAsia="仿宋"/>
          <w:sz w:val="28"/>
          <w:szCs w:val="28"/>
          <w:highlight w:val="none"/>
        </w:rPr>
        <w:t xml:space="preserve">  5.66万元，主要用于：皮山县木奎拉乡卫生院基本药物补助工作支出。</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14．2024年中央基本公共卫生服务补助资金（第二批）</w:t>
      </w:r>
      <w:r>
        <w:rPr>
          <w:rFonts w:hint="eastAsia" w:ascii="仿宋" w:hAnsi="微软雅黑" w:eastAsia="仿宋"/>
          <w:sz w:val="28"/>
          <w:szCs w:val="28"/>
          <w:highlight w:val="none"/>
          <w:lang w:eastAsia="zh-CN"/>
        </w:rPr>
        <w:t>（和地财</w:t>
      </w:r>
      <w:r>
        <w:rPr>
          <w:rFonts w:hint="eastAsia" w:ascii="仿宋" w:hAnsi="微软雅黑" w:eastAsia="仿宋"/>
          <w:sz w:val="28"/>
          <w:szCs w:val="28"/>
          <w:highlight w:val="none"/>
        </w:rPr>
        <w:t>社〔2024〕16</w:t>
      </w:r>
      <w:r>
        <w:rPr>
          <w:rFonts w:hint="eastAsia" w:ascii="仿宋" w:hAnsi="微软雅黑" w:eastAsia="仿宋"/>
          <w:sz w:val="28"/>
          <w:szCs w:val="28"/>
          <w:highlight w:val="none"/>
          <w:lang w:eastAsia="zh-CN"/>
        </w:rPr>
        <w:t>号）</w:t>
      </w:r>
      <w:r>
        <w:rPr>
          <w:rFonts w:hint="eastAsia" w:ascii="仿宋" w:hAnsi="微软雅黑" w:eastAsia="仿宋"/>
          <w:sz w:val="28"/>
          <w:szCs w:val="28"/>
          <w:highlight w:val="none"/>
        </w:rPr>
        <w:t xml:space="preserve">  7.50万元，主要用于：皮山县木奎拉乡卫生院基本公共卫生服务工作支出。</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15．2024年中央基本药物制度补助资金（第二批）</w:t>
      </w:r>
      <w:r>
        <w:rPr>
          <w:rFonts w:hint="eastAsia" w:ascii="仿宋" w:hAnsi="微软雅黑" w:eastAsia="仿宋"/>
          <w:sz w:val="28"/>
          <w:szCs w:val="28"/>
          <w:highlight w:val="none"/>
          <w:lang w:eastAsia="zh-CN"/>
        </w:rPr>
        <w:t>（和地财</w:t>
      </w:r>
      <w:r>
        <w:rPr>
          <w:rFonts w:hint="eastAsia" w:ascii="仿宋" w:hAnsi="微软雅黑" w:eastAsia="仿宋"/>
          <w:sz w:val="28"/>
          <w:szCs w:val="28"/>
          <w:highlight w:val="none"/>
        </w:rPr>
        <w:t>社〔2024〕15</w:t>
      </w:r>
      <w:r>
        <w:rPr>
          <w:rFonts w:hint="eastAsia" w:ascii="仿宋" w:hAnsi="微软雅黑" w:eastAsia="仿宋"/>
          <w:sz w:val="28"/>
          <w:szCs w:val="28"/>
          <w:highlight w:val="none"/>
          <w:lang w:eastAsia="zh-CN"/>
        </w:rPr>
        <w:t>号）</w:t>
      </w:r>
      <w:r>
        <w:rPr>
          <w:rFonts w:hint="eastAsia" w:ascii="仿宋" w:hAnsi="微软雅黑" w:eastAsia="仿宋"/>
          <w:sz w:val="28"/>
          <w:szCs w:val="28"/>
          <w:highlight w:val="none"/>
        </w:rPr>
        <w:t xml:space="preserve">  3.23万元，主要用于：皮山县木奎拉乡卫生院基本药物补助工作支出。</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16．2024年中央重大传染病防治补助资金</w:t>
      </w:r>
      <w:r>
        <w:rPr>
          <w:rFonts w:hint="eastAsia" w:ascii="仿宋" w:hAnsi="微软雅黑" w:eastAsia="仿宋"/>
          <w:sz w:val="28"/>
          <w:szCs w:val="28"/>
          <w:highlight w:val="none"/>
          <w:lang w:eastAsia="zh-CN"/>
        </w:rPr>
        <w:t>（和地财</w:t>
      </w:r>
      <w:r>
        <w:rPr>
          <w:rFonts w:hint="eastAsia" w:ascii="仿宋" w:hAnsi="微软雅黑" w:eastAsia="仿宋"/>
          <w:sz w:val="28"/>
          <w:szCs w:val="28"/>
          <w:highlight w:val="none"/>
        </w:rPr>
        <w:t>社〔2023〕73</w:t>
      </w:r>
      <w:r>
        <w:rPr>
          <w:rFonts w:hint="eastAsia" w:ascii="仿宋" w:hAnsi="微软雅黑" w:eastAsia="仿宋"/>
          <w:sz w:val="28"/>
          <w:szCs w:val="28"/>
          <w:highlight w:val="none"/>
          <w:lang w:eastAsia="zh-CN"/>
        </w:rPr>
        <w:t>号）</w:t>
      </w:r>
      <w:r>
        <w:rPr>
          <w:rFonts w:hint="eastAsia" w:ascii="仿宋" w:hAnsi="微软雅黑" w:eastAsia="仿宋"/>
          <w:sz w:val="28"/>
          <w:szCs w:val="28"/>
          <w:highlight w:val="none"/>
        </w:rPr>
        <w:t xml:space="preserve">  1.03万元，主要用于：皮山县木奎拉乡卫生院重大传染病防控工作支出。</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17．2024年中央专项彩票公益金支持地方社会公益事业发展（医疗救助）资金</w:t>
      </w:r>
      <w:r>
        <w:rPr>
          <w:rFonts w:hint="eastAsia" w:ascii="仿宋" w:hAnsi="微软雅黑" w:eastAsia="仿宋"/>
          <w:sz w:val="28"/>
          <w:szCs w:val="28"/>
          <w:highlight w:val="none"/>
          <w:lang w:eastAsia="zh-CN"/>
        </w:rPr>
        <w:t>（和地财</w:t>
      </w:r>
      <w:r>
        <w:rPr>
          <w:rFonts w:hint="eastAsia" w:ascii="仿宋" w:hAnsi="微软雅黑" w:eastAsia="仿宋"/>
          <w:sz w:val="28"/>
          <w:szCs w:val="28"/>
          <w:highlight w:val="none"/>
        </w:rPr>
        <w:t>综〔2024〕11</w:t>
      </w:r>
      <w:r>
        <w:rPr>
          <w:rFonts w:hint="eastAsia" w:ascii="仿宋" w:hAnsi="微软雅黑" w:eastAsia="仿宋"/>
          <w:sz w:val="28"/>
          <w:szCs w:val="28"/>
          <w:highlight w:val="none"/>
          <w:lang w:eastAsia="zh-CN"/>
        </w:rPr>
        <w:t>号）</w:t>
      </w:r>
      <w:r>
        <w:rPr>
          <w:rFonts w:hint="eastAsia" w:ascii="仿宋" w:hAnsi="微软雅黑" w:eastAsia="仿宋"/>
          <w:sz w:val="28"/>
          <w:szCs w:val="28"/>
          <w:highlight w:val="none"/>
        </w:rPr>
        <w:t xml:space="preserve">  0.68万元，主要用于：皮山县木奎拉乡卫生院老年人听力筛查服务经费。</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18．2024年自治区公共卫生服务</w:t>
      </w:r>
      <w:r>
        <w:rPr>
          <w:rFonts w:hint="eastAsia" w:ascii="仿宋" w:hAnsi="微软雅黑" w:eastAsia="仿宋"/>
          <w:sz w:val="28"/>
          <w:szCs w:val="28"/>
          <w:highlight w:val="none"/>
          <w:lang w:eastAsia="zh-CN"/>
        </w:rPr>
        <w:t>（地方公共卫生）</w:t>
      </w:r>
      <w:r>
        <w:rPr>
          <w:rFonts w:hint="eastAsia" w:ascii="仿宋" w:hAnsi="微软雅黑" w:eastAsia="仿宋"/>
          <w:sz w:val="28"/>
          <w:szCs w:val="28"/>
          <w:highlight w:val="none"/>
        </w:rPr>
        <w:t>补助资金</w:t>
      </w:r>
      <w:r>
        <w:rPr>
          <w:rFonts w:hint="eastAsia" w:ascii="仿宋" w:hAnsi="微软雅黑" w:eastAsia="仿宋"/>
          <w:sz w:val="28"/>
          <w:szCs w:val="28"/>
          <w:highlight w:val="none"/>
          <w:lang w:eastAsia="zh-CN"/>
        </w:rPr>
        <w:t>（和地财</w:t>
      </w:r>
      <w:r>
        <w:rPr>
          <w:rFonts w:hint="eastAsia" w:ascii="仿宋" w:hAnsi="微软雅黑" w:eastAsia="仿宋"/>
          <w:sz w:val="28"/>
          <w:szCs w:val="28"/>
          <w:highlight w:val="none"/>
        </w:rPr>
        <w:t>社〔2023〕75</w:t>
      </w:r>
      <w:r>
        <w:rPr>
          <w:rFonts w:hint="eastAsia" w:ascii="仿宋" w:hAnsi="微软雅黑" w:eastAsia="仿宋"/>
          <w:sz w:val="28"/>
          <w:szCs w:val="28"/>
          <w:highlight w:val="none"/>
          <w:lang w:eastAsia="zh-CN"/>
        </w:rPr>
        <w:t>号）</w:t>
      </w:r>
      <w:r>
        <w:rPr>
          <w:rFonts w:hint="eastAsia" w:ascii="仿宋" w:hAnsi="微软雅黑" w:eastAsia="仿宋"/>
          <w:sz w:val="28"/>
          <w:szCs w:val="28"/>
          <w:highlight w:val="none"/>
        </w:rPr>
        <w:t xml:space="preserve">  4.84万元，主要用于：皮山县木奎拉乡卫生院全民健康体检服务工作支出。</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19．2024年自治区基本公共卫生服务补助资金</w:t>
      </w:r>
      <w:r>
        <w:rPr>
          <w:rFonts w:hint="eastAsia" w:ascii="仿宋" w:hAnsi="微软雅黑" w:eastAsia="仿宋"/>
          <w:sz w:val="28"/>
          <w:szCs w:val="28"/>
          <w:highlight w:val="none"/>
          <w:lang w:eastAsia="zh-CN"/>
        </w:rPr>
        <w:t>（和地财</w:t>
      </w:r>
      <w:r>
        <w:rPr>
          <w:rFonts w:hint="eastAsia" w:ascii="仿宋" w:hAnsi="微软雅黑" w:eastAsia="仿宋"/>
          <w:sz w:val="28"/>
          <w:szCs w:val="28"/>
          <w:highlight w:val="none"/>
        </w:rPr>
        <w:t>社〔2023〕74</w:t>
      </w:r>
      <w:r>
        <w:rPr>
          <w:rFonts w:hint="eastAsia" w:ascii="仿宋" w:hAnsi="微软雅黑" w:eastAsia="仿宋"/>
          <w:sz w:val="28"/>
          <w:szCs w:val="28"/>
          <w:highlight w:val="none"/>
          <w:lang w:eastAsia="zh-CN"/>
        </w:rPr>
        <w:t>号）</w:t>
      </w:r>
      <w:r>
        <w:rPr>
          <w:rFonts w:hint="eastAsia" w:ascii="仿宋" w:hAnsi="微软雅黑" w:eastAsia="仿宋"/>
          <w:sz w:val="28"/>
          <w:szCs w:val="28"/>
          <w:highlight w:val="none"/>
        </w:rPr>
        <w:t xml:space="preserve">  0.78万元，主要用于：皮山县木奎拉乡卫生院基本公共卫生服务工作支出。</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20．2024年自治区医疗服务与保障能力提升</w:t>
      </w:r>
      <w:r>
        <w:rPr>
          <w:rFonts w:hint="eastAsia" w:ascii="仿宋" w:hAnsi="微软雅黑" w:eastAsia="仿宋"/>
          <w:sz w:val="28"/>
          <w:szCs w:val="28"/>
          <w:highlight w:val="none"/>
          <w:lang w:eastAsia="zh-CN"/>
        </w:rPr>
        <w:t>（卫生健康人才培养）</w:t>
      </w:r>
      <w:r>
        <w:rPr>
          <w:rFonts w:hint="eastAsia" w:ascii="仿宋" w:hAnsi="微软雅黑" w:eastAsia="仿宋"/>
          <w:sz w:val="28"/>
          <w:szCs w:val="28"/>
          <w:highlight w:val="none"/>
        </w:rPr>
        <w:t>补助资金</w:t>
      </w:r>
      <w:r>
        <w:rPr>
          <w:rFonts w:hint="eastAsia" w:ascii="仿宋" w:hAnsi="微软雅黑" w:eastAsia="仿宋"/>
          <w:sz w:val="28"/>
          <w:szCs w:val="28"/>
          <w:highlight w:val="none"/>
          <w:lang w:eastAsia="zh-CN"/>
        </w:rPr>
        <w:t>（和地财</w:t>
      </w:r>
      <w:r>
        <w:rPr>
          <w:rFonts w:hint="eastAsia" w:ascii="仿宋" w:hAnsi="微软雅黑" w:eastAsia="仿宋"/>
          <w:sz w:val="28"/>
          <w:szCs w:val="28"/>
          <w:highlight w:val="none"/>
        </w:rPr>
        <w:t>社〔2023〕76</w:t>
      </w:r>
      <w:r>
        <w:rPr>
          <w:rFonts w:hint="eastAsia" w:ascii="仿宋" w:hAnsi="微软雅黑" w:eastAsia="仿宋"/>
          <w:sz w:val="28"/>
          <w:szCs w:val="28"/>
          <w:highlight w:val="none"/>
          <w:lang w:eastAsia="zh-CN"/>
        </w:rPr>
        <w:t>号）</w:t>
      </w:r>
      <w:r>
        <w:rPr>
          <w:rFonts w:hint="eastAsia" w:ascii="仿宋" w:hAnsi="微软雅黑" w:eastAsia="仿宋"/>
          <w:sz w:val="28"/>
          <w:szCs w:val="28"/>
          <w:highlight w:val="none"/>
        </w:rPr>
        <w:t xml:space="preserve">  1.21万元，主要用于：皮山县木奎拉乡卫生院村医生生活补助费。</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21．关于拨付2022年中央基本药物制度补助资金</w:t>
      </w:r>
      <w:r>
        <w:rPr>
          <w:rFonts w:hint="eastAsia" w:ascii="仿宋" w:hAnsi="微软雅黑" w:eastAsia="仿宋"/>
          <w:sz w:val="28"/>
          <w:szCs w:val="28"/>
          <w:highlight w:val="none"/>
          <w:lang w:eastAsia="zh-CN"/>
        </w:rPr>
        <w:t>（第二批）</w:t>
      </w:r>
      <w:r>
        <w:rPr>
          <w:rFonts w:hint="eastAsia" w:ascii="仿宋" w:hAnsi="微软雅黑" w:eastAsia="仿宋"/>
          <w:sz w:val="28"/>
          <w:szCs w:val="28"/>
          <w:highlight w:val="none"/>
        </w:rPr>
        <w:t>的通知</w:t>
      </w:r>
      <w:r>
        <w:rPr>
          <w:rFonts w:hint="eastAsia" w:ascii="仿宋" w:hAnsi="微软雅黑" w:eastAsia="仿宋"/>
          <w:sz w:val="28"/>
          <w:szCs w:val="28"/>
          <w:highlight w:val="none"/>
          <w:lang w:eastAsia="zh-CN"/>
        </w:rPr>
        <w:t>（和地财</w:t>
      </w:r>
      <w:r>
        <w:rPr>
          <w:rFonts w:hint="eastAsia" w:ascii="仿宋" w:hAnsi="微软雅黑" w:eastAsia="仿宋"/>
          <w:sz w:val="28"/>
          <w:szCs w:val="28"/>
          <w:highlight w:val="none"/>
        </w:rPr>
        <w:t>社</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2022</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34</w:t>
      </w:r>
      <w:r>
        <w:rPr>
          <w:rFonts w:hint="eastAsia" w:ascii="仿宋" w:hAnsi="微软雅黑" w:eastAsia="仿宋"/>
          <w:sz w:val="28"/>
          <w:szCs w:val="28"/>
          <w:highlight w:val="none"/>
          <w:lang w:eastAsia="zh-CN"/>
        </w:rPr>
        <w:t>号）</w:t>
      </w:r>
      <w:r>
        <w:rPr>
          <w:rFonts w:hint="eastAsia" w:ascii="仿宋" w:hAnsi="微软雅黑" w:eastAsia="仿宋"/>
          <w:sz w:val="28"/>
          <w:szCs w:val="28"/>
          <w:highlight w:val="none"/>
        </w:rPr>
        <w:t xml:space="preserve">  2.80万元，主要用于：皮山县木奎拉乡卫生院基本药物补助工作支出。</w:t>
      </w:r>
    </w:p>
    <w:p>
      <w:pPr>
        <w:pStyle w:val="3"/>
        <w:numPr>
          <w:numId w:val="0"/>
        </w:numPr>
        <w:spacing w:before="0" w:after="0" w:line="560" w:lineRule="exact"/>
        <w:ind w:leftChars="201"/>
        <w:rPr>
          <w:rFonts w:hint="default" w:ascii="仿宋" w:hAnsi="华文楷体" w:eastAsia="仿宋"/>
          <w:sz w:val="28"/>
          <w:szCs w:val="28"/>
          <w:highlight w:val="none"/>
        </w:rPr>
      </w:pPr>
      <w:r>
        <w:rPr>
          <w:rFonts w:hint="eastAsia" w:ascii="仿宋" w:hAnsi="华文楷体" w:eastAsia="仿宋"/>
          <w:sz w:val="28"/>
          <w:szCs w:val="28"/>
          <w:highlight w:val="none"/>
          <w:lang w:eastAsia="zh-CN"/>
        </w:rPr>
        <w:t>十二、</w:t>
      </w:r>
      <w:r>
        <w:rPr>
          <w:rFonts w:hint="eastAsia" w:ascii="仿宋" w:hAnsi="华文楷体" w:eastAsia="仿宋"/>
          <w:sz w:val="28"/>
          <w:szCs w:val="28"/>
          <w:highlight w:val="none"/>
        </w:rPr>
        <w:t>其他重要事项的情况说明</w:t>
      </w:r>
    </w:p>
    <w:p>
      <w:pPr>
        <w:pStyle w:val="4"/>
        <w:numPr>
          <w:ilvl w:val="0"/>
          <w:numId w:val="3"/>
        </w:numPr>
        <w:spacing w:before="0" w:after="0" w:line="560" w:lineRule="exact"/>
        <w:ind w:left="0" w:firstLine="562" w:firstLineChars="201"/>
        <w:rPr>
          <w:rFonts w:hint="default" w:ascii="楷体" w:eastAsia="楷体"/>
          <w:sz w:val="28"/>
          <w:szCs w:val="28"/>
          <w:highlight w:val="none"/>
        </w:rPr>
      </w:pPr>
      <w:r>
        <w:rPr>
          <w:rFonts w:hint="eastAsia" w:ascii="楷体" w:eastAsia="楷体"/>
          <w:sz w:val="28"/>
          <w:szCs w:val="28"/>
          <w:highlight w:val="none"/>
        </w:rPr>
        <w:t>单位运行经费情况</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皮山县木奎拉乡卫生院2025年的事业单位运行经费财政拨款预算0.00万元，比上年预算增加0.00万元，增长0.00%，主要原因是皮山县木奎拉乡卫生院没有事业单位运行经费。</w:t>
      </w:r>
    </w:p>
    <w:p>
      <w:pPr>
        <w:pStyle w:val="4"/>
        <w:numPr>
          <w:ilvl w:val="0"/>
          <w:numId w:val="3"/>
        </w:numPr>
        <w:spacing w:before="0" w:after="0" w:line="560" w:lineRule="exact"/>
        <w:ind w:left="0" w:firstLine="562" w:firstLineChars="201"/>
        <w:rPr>
          <w:rFonts w:hint="default" w:ascii="楷体" w:eastAsia="楷体"/>
          <w:sz w:val="28"/>
          <w:szCs w:val="28"/>
          <w:highlight w:val="none"/>
        </w:rPr>
      </w:pPr>
      <w:r>
        <w:rPr>
          <w:rFonts w:hint="eastAsia" w:ascii="楷体" w:eastAsia="楷体"/>
          <w:sz w:val="28"/>
          <w:szCs w:val="28"/>
          <w:highlight w:val="none"/>
        </w:rPr>
        <w:t>政府采购情况</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2025年，皮山县木奎拉乡卫生院政府采购预算648.72万元，其中：政府采购货物预算424.48万元，政府采购工程预算45.50万元，政府采购服务预算178.74万元。</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2025年，皮山县木奎拉乡卫生院面向中小企业预留政府采购项目预算金额648.72万元，小微企业预留政府采购项目预算金额634.68万元。</w:t>
      </w:r>
    </w:p>
    <w:p>
      <w:pPr>
        <w:pStyle w:val="4"/>
        <w:numPr>
          <w:ilvl w:val="0"/>
          <w:numId w:val="3"/>
        </w:numPr>
        <w:spacing w:before="0" w:after="0" w:line="560" w:lineRule="exact"/>
        <w:ind w:left="0" w:firstLine="562" w:firstLineChars="201"/>
        <w:rPr>
          <w:rFonts w:hint="default" w:ascii="楷体" w:eastAsia="楷体"/>
          <w:sz w:val="28"/>
          <w:szCs w:val="28"/>
          <w:highlight w:val="none"/>
        </w:rPr>
      </w:pPr>
      <w:r>
        <w:rPr>
          <w:rFonts w:hint="default" w:ascii="楷体" w:eastAsia="楷体"/>
          <w:sz w:val="28"/>
          <w:szCs w:val="28"/>
          <w:highlight w:val="none"/>
        </w:rPr>
        <w:t>国有资产占用使用情况</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截至2024年底，皮山县木奎拉乡卫生院占用使用国有资产总体情况为：</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1.房屋7,199.15平方米，价值1,108.60万元。</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2.车辆2辆，价值42.98万元；其中：一般公务用车0辆，价值0.00万元；执法执勤用车0辆，价值0.00万元；其他车辆2辆，价值42.98万元。</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3.办公家具价值87.82万元。</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4.其他资产价值839.01万元。</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部门价值50万元以上大型设备0台，部门价值100万元以上大型设备0台。</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2025年部门预算未安排购置车辆经费，安排购置50万元以上大型设备0台，单位价值100万元以上大型设备0台。</w:t>
      </w:r>
    </w:p>
    <w:p>
      <w:pPr>
        <w:pStyle w:val="4"/>
        <w:numPr>
          <w:ilvl w:val="0"/>
          <w:numId w:val="3"/>
        </w:numPr>
        <w:spacing w:before="0" w:after="0" w:line="560" w:lineRule="exact"/>
        <w:ind w:left="0" w:firstLine="562" w:firstLineChars="201"/>
        <w:rPr>
          <w:rFonts w:hint="default" w:ascii="楷体" w:eastAsia="楷体"/>
          <w:sz w:val="28"/>
          <w:szCs w:val="28"/>
          <w:highlight w:val="none"/>
        </w:rPr>
      </w:pPr>
      <w:r>
        <w:rPr>
          <w:rFonts w:hint="default" w:ascii="楷体" w:eastAsia="楷体"/>
          <w:sz w:val="28"/>
          <w:szCs w:val="28"/>
          <w:highlight w:val="none"/>
        </w:rPr>
        <w:t>预算绩效情况</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2025年，本部门预算绩效管理整体预算绩效目标1个，涉及预算金额1,799.54万元；当年预算安排项目共1个，其中：财政拨款项目涉及预算金额0.00万元；非财政拨款项目涉及预算金额1,100.00万元。具体情况见下表：</w:t>
      </w:r>
    </w:p>
    <w:p>
      <w:pPr>
        <w:spacing w:line="560" w:lineRule="exact"/>
        <w:jc w:val="center"/>
        <w:rPr>
          <w:rFonts w:hint="default" w:ascii="仿宋" w:eastAsia="仿宋"/>
          <w:b/>
          <w:sz w:val="28"/>
          <w:szCs w:val="28"/>
          <w:highlight w:val="none"/>
        </w:rPr>
      </w:pPr>
      <w:r>
        <w:rPr>
          <w:b/>
          <w:sz w:val="44"/>
          <w:szCs w:val="44"/>
          <w:highlight w:val="none"/>
        </w:rPr>
        <w:br w:type="page"/>
      </w:r>
      <w:r>
        <w:rPr>
          <w:rFonts w:hint="eastAsia" w:ascii="仿宋" w:eastAsia="仿宋"/>
          <w:b/>
          <w:sz w:val="28"/>
          <w:szCs w:val="28"/>
          <w:highlight w:val="none"/>
        </w:rPr>
        <w:t>部门整体绩效目标表</w:t>
      </w:r>
    </w:p>
    <w:p>
      <w:pPr>
        <w:spacing w:line="360" w:lineRule="exact"/>
        <w:jc w:val="center"/>
        <w:rPr>
          <w:rFonts w:hint="default" w:ascii="仿宋" w:eastAsia="仿宋"/>
          <w:sz w:val="18"/>
          <w:szCs w:val="18"/>
          <w:highlight w:val="none"/>
        </w:rPr>
      </w:pPr>
      <w:r>
        <w:rPr>
          <w:rFonts w:hint="eastAsia" w:ascii="仿宋" w:eastAsia="仿宋"/>
          <w:sz w:val="18"/>
          <w:szCs w:val="18"/>
          <w:highlight w:val="none"/>
        </w:rPr>
        <w:t>（2025年）</w:t>
      </w:r>
    </w:p>
    <w:tbl>
      <w:tblPr>
        <w:tblStyle w:val="7"/>
        <w:tblW w:w="95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1559"/>
        <w:gridCol w:w="2410"/>
        <w:gridCol w:w="88"/>
        <w:gridCol w:w="1360"/>
        <w:gridCol w:w="1360"/>
        <w:gridCol w:w="1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2943" w:type="dxa"/>
            <w:gridSpan w:val="2"/>
            <w:shd w:val="clear" w:color="auto" w:fill="auto"/>
            <w:vAlign w:val="center"/>
          </w:tcPr>
          <w:p>
            <w:pPr>
              <w:jc w:val="center"/>
              <w:rPr>
                <w:b/>
                <w:sz w:val="18"/>
                <w:szCs w:val="18"/>
                <w:highlight w:val="none"/>
              </w:rPr>
            </w:pPr>
            <w:r>
              <w:rPr>
                <w:rFonts w:hint="eastAsia"/>
                <w:b/>
                <w:sz w:val="18"/>
                <w:szCs w:val="18"/>
                <w:highlight w:val="none"/>
              </w:rPr>
              <w:t>部门名称（盖章）</w:t>
            </w:r>
          </w:p>
        </w:tc>
        <w:tc>
          <w:tcPr>
            <w:tcW w:w="6578" w:type="dxa"/>
            <w:gridSpan w:val="5"/>
            <w:shd w:val="clear" w:color="auto" w:fill="auto"/>
            <w:vAlign w:val="center"/>
          </w:tcPr>
          <w:p>
            <w:pPr>
              <w:jc w:val="center"/>
              <w:rPr>
                <w:sz w:val="18"/>
                <w:szCs w:val="18"/>
                <w:highlight w:val="none"/>
              </w:rPr>
            </w:pPr>
            <w:r>
              <w:rPr>
                <w:rFonts w:hint="eastAsia"/>
                <w:sz w:val="18"/>
                <w:szCs w:val="18"/>
                <w:highlight w:val="none"/>
              </w:rPr>
              <w:t>皮山县木奎拉乡卫生院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2943" w:type="dxa"/>
            <w:gridSpan w:val="2"/>
            <w:shd w:val="clear" w:color="auto" w:fill="auto"/>
            <w:vAlign w:val="center"/>
          </w:tcPr>
          <w:p>
            <w:pPr>
              <w:jc w:val="center"/>
              <w:rPr>
                <w:b/>
                <w:sz w:val="18"/>
                <w:szCs w:val="18"/>
                <w:highlight w:val="none"/>
              </w:rPr>
            </w:pPr>
            <w:r>
              <w:rPr>
                <w:rFonts w:hint="eastAsia"/>
                <w:b/>
                <w:sz w:val="18"/>
                <w:szCs w:val="18"/>
                <w:highlight w:val="none"/>
              </w:rPr>
              <w:t>部门联系人</w:t>
            </w:r>
          </w:p>
        </w:tc>
        <w:tc>
          <w:tcPr>
            <w:tcW w:w="2498" w:type="dxa"/>
            <w:gridSpan w:val="2"/>
            <w:shd w:val="clear" w:color="auto" w:fill="auto"/>
            <w:vAlign w:val="center"/>
          </w:tcPr>
          <w:p>
            <w:pPr>
              <w:jc w:val="center"/>
              <w:rPr>
                <w:b/>
                <w:sz w:val="18"/>
                <w:szCs w:val="18"/>
                <w:highlight w:val="none"/>
              </w:rPr>
            </w:pPr>
            <w:r>
              <w:rPr>
                <w:rFonts w:hint="eastAsia"/>
                <w:sz w:val="18"/>
                <w:szCs w:val="18"/>
                <w:highlight w:val="none"/>
              </w:rPr>
              <w:t>杨金华</w:t>
            </w:r>
          </w:p>
        </w:tc>
        <w:tc>
          <w:tcPr>
            <w:tcW w:w="1360" w:type="dxa"/>
            <w:shd w:val="clear" w:color="auto" w:fill="auto"/>
            <w:vAlign w:val="center"/>
          </w:tcPr>
          <w:p>
            <w:pPr>
              <w:jc w:val="center"/>
              <w:rPr>
                <w:b/>
                <w:sz w:val="18"/>
                <w:szCs w:val="18"/>
                <w:highlight w:val="none"/>
              </w:rPr>
            </w:pPr>
            <w:r>
              <w:rPr>
                <w:rFonts w:hint="eastAsia"/>
                <w:b/>
                <w:sz w:val="18"/>
                <w:szCs w:val="18"/>
                <w:highlight w:val="none"/>
              </w:rPr>
              <w:t>联系电话</w:t>
            </w:r>
          </w:p>
        </w:tc>
        <w:tc>
          <w:tcPr>
            <w:tcW w:w="2720" w:type="dxa"/>
            <w:gridSpan w:val="2"/>
            <w:shd w:val="clear" w:color="auto" w:fill="auto"/>
            <w:vAlign w:val="center"/>
          </w:tcPr>
          <w:p>
            <w:pPr>
              <w:jc w:val="center"/>
              <w:rPr>
                <w:sz w:val="18"/>
                <w:szCs w:val="18"/>
                <w:highlight w:val="none"/>
              </w:rPr>
            </w:pPr>
            <w:r>
              <w:rPr>
                <w:rFonts w:hint="eastAsia"/>
                <w:sz w:val="18"/>
                <w:szCs w:val="18"/>
                <w:highlight w:val="none"/>
              </w:rPr>
              <w:t>15001425208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0" w:hRule="atLeast"/>
        </w:trPr>
        <w:tc>
          <w:tcPr>
            <w:tcW w:w="2943" w:type="dxa"/>
            <w:gridSpan w:val="2"/>
            <w:shd w:val="clear" w:color="auto" w:fill="auto"/>
            <w:vAlign w:val="center"/>
          </w:tcPr>
          <w:p>
            <w:pPr>
              <w:jc w:val="center"/>
              <w:rPr>
                <w:b/>
                <w:sz w:val="18"/>
                <w:szCs w:val="18"/>
                <w:highlight w:val="none"/>
              </w:rPr>
            </w:pPr>
            <w:r>
              <w:rPr>
                <w:rFonts w:hint="eastAsia"/>
                <w:b/>
                <w:sz w:val="18"/>
                <w:szCs w:val="18"/>
                <w:highlight w:val="none"/>
              </w:rPr>
              <w:t>年度绩效目标</w:t>
            </w:r>
          </w:p>
        </w:tc>
        <w:tc>
          <w:tcPr>
            <w:tcW w:w="6578" w:type="dxa"/>
            <w:gridSpan w:val="5"/>
            <w:shd w:val="clear" w:color="auto" w:fill="auto"/>
            <w:vAlign w:val="center"/>
          </w:tcPr>
          <w:p>
            <w:pPr>
              <w:rPr>
                <w:b/>
                <w:sz w:val="18"/>
                <w:szCs w:val="18"/>
                <w:highlight w:val="none"/>
              </w:rPr>
            </w:pPr>
            <w:r>
              <w:rPr>
                <w:rFonts w:hint="eastAsia"/>
                <w:color w:val="000000"/>
                <w:sz w:val="18"/>
                <w:szCs w:val="18"/>
                <w:highlight w:val="none"/>
              </w:rPr>
              <w:t>贯彻落实好自治区及地区工作的安排部署，提升疾病疫情防控能力；加强健康教育宣传力度，提高广大人民群众的防病意识；完成自治区及地区下发疾病预防，基本公共卫生，基本医疗任务的各项指标，强化疫情监测和报告工作，规范各项防控工作；加强传染病的</w:t>
            </w:r>
            <w:r>
              <w:rPr>
                <w:rFonts w:hint="eastAsia"/>
                <w:color w:val="000000"/>
                <w:sz w:val="18"/>
                <w:szCs w:val="18"/>
                <w:highlight w:val="none"/>
                <w:lang w:eastAsia="zh-CN"/>
              </w:rPr>
              <w:t>监测预警</w:t>
            </w:r>
            <w:r>
              <w:rPr>
                <w:rFonts w:hint="eastAsia"/>
                <w:color w:val="000000"/>
                <w:sz w:val="18"/>
                <w:szCs w:val="18"/>
                <w:highlight w:val="none"/>
              </w:rPr>
              <w:t>能力及人才队伍的建设。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2943" w:type="dxa"/>
            <w:gridSpan w:val="2"/>
            <w:vMerge w:val="restart"/>
            <w:shd w:val="clear" w:color="auto" w:fill="auto"/>
            <w:vAlign w:val="center"/>
          </w:tcPr>
          <w:p>
            <w:pPr>
              <w:jc w:val="center"/>
              <w:rPr>
                <w:b/>
                <w:sz w:val="18"/>
                <w:szCs w:val="18"/>
                <w:highlight w:val="none"/>
              </w:rPr>
            </w:pPr>
            <w:r>
              <w:rPr>
                <w:rFonts w:hint="eastAsia"/>
                <w:b/>
                <w:sz w:val="18"/>
                <w:szCs w:val="18"/>
                <w:highlight w:val="none"/>
              </w:rPr>
              <w:t>年度预算(万元)</w:t>
            </w:r>
          </w:p>
        </w:tc>
        <w:tc>
          <w:tcPr>
            <w:tcW w:w="3858" w:type="dxa"/>
            <w:gridSpan w:val="3"/>
            <w:shd w:val="clear" w:color="auto" w:fill="auto"/>
            <w:vAlign w:val="center"/>
          </w:tcPr>
          <w:p>
            <w:pPr>
              <w:jc w:val="center"/>
              <w:rPr>
                <w:sz w:val="18"/>
                <w:szCs w:val="18"/>
                <w:highlight w:val="none"/>
              </w:rPr>
            </w:pPr>
            <w:r>
              <w:rPr>
                <w:rFonts w:hint="eastAsia"/>
                <w:sz w:val="18"/>
                <w:szCs w:val="18"/>
                <w:highlight w:val="none"/>
              </w:rPr>
              <w:t>资金来源</w:t>
            </w:r>
          </w:p>
        </w:tc>
        <w:tc>
          <w:tcPr>
            <w:tcW w:w="2720" w:type="dxa"/>
            <w:gridSpan w:val="2"/>
            <w:shd w:val="clear" w:color="auto" w:fill="auto"/>
            <w:vAlign w:val="center"/>
          </w:tcPr>
          <w:p>
            <w:pPr>
              <w:jc w:val="center"/>
              <w:rPr>
                <w:sz w:val="18"/>
                <w:szCs w:val="18"/>
                <w:highlight w:val="none"/>
              </w:rPr>
            </w:pPr>
            <w:r>
              <w:rPr>
                <w:rFonts w:hint="eastAsia"/>
                <w:sz w:val="18"/>
                <w:szCs w:val="18"/>
                <w:highlight w:val="none"/>
              </w:rPr>
              <w:t>资金总额（万元）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2943" w:type="dxa"/>
            <w:gridSpan w:val="2"/>
            <w:vMerge w:val="continue"/>
            <w:shd w:val="clear" w:color="auto" w:fill="auto"/>
            <w:vAlign w:val="center"/>
          </w:tcPr>
          <w:p>
            <w:pPr>
              <w:jc w:val="center"/>
              <w:rPr>
                <w:rFonts w:hint="eastAsia"/>
                <w:b/>
                <w:sz w:val="18"/>
                <w:szCs w:val="18"/>
                <w:highlight w:val="none"/>
              </w:rPr>
            </w:pPr>
          </w:p>
        </w:tc>
        <w:tc>
          <w:tcPr>
            <w:tcW w:w="2410" w:type="dxa"/>
            <w:vMerge w:val="restart"/>
            <w:shd w:val="clear" w:color="auto" w:fill="auto"/>
            <w:vAlign w:val="center"/>
          </w:tcPr>
          <w:p>
            <w:pPr>
              <w:jc w:val="center"/>
              <w:rPr>
                <w:rFonts w:hint="eastAsia"/>
                <w:sz w:val="18"/>
                <w:szCs w:val="18"/>
                <w:highlight w:val="none"/>
              </w:rPr>
            </w:pPr>
            <w:r>
              <w:rPr>
                <w:rFonts w:hint="eastAsia"/>
                <w:sz w:val="18"/>
                <w:szCs w:val="18"/>
                <w:highlight w:val="none"/>
              </w:rPr>
              <w:t>财政资金（万元）</w:t>
            </w:r>
          </w:p>
        </w:tc>
        <w:tc>
          <w:tcPr>
            <w:tcW w:w="1448" w:type="dxa"/>
            <w:gridSpan w:val="2"/>
            <w:shd w:val="clear" w:color="auto" w:fill="auto"/>
            <w:vAlign w:val="center"/>
          </w:tcPr>
          <w:p>
            <w:pPr>
              <w:jc w:val="center"/>
              <w:rPr>
                <w:rFonts w:hint="eastAsia"/>
                <w:sz w:val="18"/>
                <w:szCs w:val="18"/>
                <w:highlight w:val="none"/>
              </w:rPr>
            </w:pPr>
            <w:r>
              <w:rPr>
                <w:rFonts w:hint="eastAsia"/>
                <w:sz w:val="18"/>
                <w:szCs w:val="18"/>
                <w:highlight w:val="none"/>
              </w:rPr>
              <w:t>上级安排</w:t>
            </w:r>
          </w:p>
        </w:tc>
        <w:tc>
          <w:tcPr>
            <w:tcW w:w="2720" w:type="dxa"/>
            <w:gridSpan w:val="2"/>
            <w:shd w:val="clear" w:color="auto" w:fill="auto"/>
            <w:vAlign w:val="center"/>
          </w:tcPr>
          <w:p>
            <w:pPr>
              <w:jc w:val="center"/>
              <w:rPr>
                <w:sz w:val="18"/>
                <w:szCs w:val="18"/>
                <w:highlight w:val="none"/>
              </w:rPr>
            </w:pPr>
            <w:r>
              <w:rPr>
                <w:rFonts w:hint="eastAsia"/>
                <w:sz w:val="18"/>
                <w:szCs w:val="18"/>
                <w:highlight w:val="none"/>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2943" w:type="dxa"/>
            <w:gridSpan w:val="2"/>
            <w:vMerge w:val="continue"/>
            <w:shd w:val="clear" w:color="auto" w:fill="auto"/>
            <w:vAlign w:val="center"/>
          </w:tcPr>
          <w:p>
            <w:pPr>
              <w:jc w:val="center"/>
              <w:rPr>
                <w:rFonts w:hint="eastAsia"/>
                <w:b/>
                <w:sz w:val="18"/>
                <w:szCs w:val="18"/>
                <w:highlight w:val="none"/>
              </w:rPr>
            </w:pPr>
          </w:p>
        </w:tc>
        <w:tc>
          <w:tcPr>
            <w:tcW w:w="2410" w:type="dxa"/>
            <w:vMerge w:val="continue"/>
            <w:shd w:val="clear" w:color="auto" w:fill="auto"/>
            <w:vAlign w:val="center"/>
          </w:tcPr>
          <w:p>
            <w:pPr>
              <w:jc w:val="center"/>
              <w:rPr>
                <w:rFonts w:hint="eastAsia"/>
                <w:sz w:val="18"/>
                <w:szCs w:val="18"/>
                <w:highlight w:val="none"/>
              </w:rPr>
            </w:pPr>
          </w:p>
        </w:tc>
        <w:tc>
          <w:tcPr>
            <w:tcW w:w="1448" w:type="dxa"/>
            <w:gridSpan w:val="2"/>
            <w:shd w:val="clear" w:color="auto" w:fill="auto"/>
            <w:vAlign w:val="center"/>
          </w:tcPr>
          <w:p>
            <w:pPr>
              <w:jc w:val="center"/>
              <w:rPr>
                <w:rFonts w:hint="eastAsia"/>
                <w:sz w:val="18"/>
                <w:szCs w:val="18"/>
                <w:highlight w:val="none"/>
              </w:rPr>
            </w:pPr>
            <w:r>
              <w:rPr>
                <w:rFonts w:hint="eastAsia"/>
                <w:sz w:val="18"/>
                <w:szCs w:val="18"/>
                <w:highlight w:val="none"/>
              </w:rPr>
              <w:t>本级安排</w:t>
            </w:r>
          </w:p>
        </w:tc>
        <w:tc>
          <w:tcPr>
            <w:tcW w:w="2720" w:type="dxa"/>
            <w:gridSpan w:val="2"/>
            <w:shd w:val="clear" w:color="auto" w:fill="auto"/>
            <w:vAlign w:val="center"/>
          </w:tcPr>
          <w:p>
            <w:pPr>
              <w:jc w:val="center"/>
              <w:rPr>
                <w:sz w:val="18"/>
                <w:szCs w:val="18"/>
                <w:highlight w:val="none"/>
              </w:rPr>
            </w:pPr>
            <w:r>
              <w:rPr>
                <w:rFonts w:hint="eastAsia"/>
                <w:sz w:val="18"/>
                <w:szCs w:val="18"/>
                <w:highlight w:val="none"/>
              </w:rPr>
              <w:t>607.40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2943" w:type="dxa"/>
            <w:gridSpan w:val="2"/>
            <w:vMerge w:val="continue"/>
            <w:shd w:val="clear" w:color="auto" w:fill="auto"/>
            <w:vAlign w:val="center"/>
          </w:tcPr>
          <w:p>
            <w:pPr>
              <w:jc w:val="center"/>
              <w:rPr>
                <w:rFonts w:hint="eastAsia"/>
                <w:b/>
                <w:sz w:val="18"/>
                <w:szCs w:val="18"/>
                <w:highlight w:val="none"/>
              </w:rPr>
            </w:pPr>
          </w:p>
        </w:tc>
        <w:tc>
          <w:tcPr>
            <w:tcW w:w="2410" w:type="dxa"/>
            <w:shd w:val="clear" w:color="auto" w:fill="auto"/>
            <w:vAlign w:val="center"/>
          </w:tcPr>
          <w:p>
            <w:pPr>
              <w:jc w:val="center"/>
              <w:rPr>
                <w:rFonts w:hint="eastAsia"/>
                <w:sz w:val="18"/>
                <w:szCs w:val="18"/>
                <w:highlight w:val="none"/>
              </w:rPr>
            </w:pPr>
            <w:r>
              <w:rPr>
                <w:rFonts w:hint="eastAsia"/>
                <w:sz w:val="18"/>
                <w:szCs w:val="18"/>
                <w:highlight w:val="none"/>
              </w:rPr>
              <w:t>其他资金（万元）</w:t>
            </w:r>
          </w:p>
        </w:tc>
        <w:tc>
          <w:tcPr>
            <w:tcW w:w="1448" w:type="dxa"/>
            <w:gridSpan w:val="2"/>
            <w:shd w:val="clear" w:color="auto" w:fill="auto"/>
            <w:vAlign w:val="center"/>
          </w:tcPr>
          <w:p>
            <w:pPr>
              <w:jc w:val="center"/>
              <w:rPr>
                <w:rFonts w:hint="eastAsia"/>
                <w:sz w:val="18"/>
                <w:szCs w:val="18"/>
                <w:highlight w:val="none"/>
              </w:rPr>
            </w:pPr>
            <w:r>
              <w:rPr>
                <w:rFonts w:hint="eastAsia"/>
                <w:sz w:val="18"/>
                <w:szCs w:val="18"/>
                <w:highlight w:val="none"/>
              </w:rPr>
              <w:t>其他</w:t>
            </w:r>
          </w:p>
        </w:tc>
        <w:tc>
          <w:tcPr>
            <w:tcW w:w="2720" w:type="dxa"/>
            <w:gridSpan w:val="2"/>
            <w:shd w:val="clear" w:color="auto" w:fill="auto"/>
            <w:vAlign w:val="center"/>
          </w:tcPr>
          <w:p>
            <w:pPr>
              <w:jc w:val="center"/>
              <w:rPr>
                <w:sz w:val="18"/>
                <w:szCs w:val="18"/>
                <w:highlight w:val="none"/>
              </w:rPr>
            </w:pPr>
            <w:r>
              <w:rPr>
                <w:rFonts w:hint="eastAsia"/>
                <w:sz w:val="18"/>
                <w:szCs w:val="18"/>
                <w:highlight w:val="none"/>
              </w:rPr>
              <w:t>1,192.14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84" w:type="dxa"/>
            <w:shd w:val="clear" w:color="auto" w:fill="auto"/>
            <w:vAlign w:val="center"/>
          </w:tcPr>
          <w:p>
            <w:pPr>
              <w:jc w:val="center"/>
              <w:rPr>
                <w:b/>
                <w:sz w:val="18"/>
                <w:szCs w:val="18"/>
                <w:highlight w:val="none"/>
              </w:rPr>
            </w:pPr>
            <w:r>
              <w:rPr>
                <w:rFonts w:hint="eastAsia"/>
                <w:b/>
                <w:sz w:val="18"/>
                <w:szCs w:val="18"/>
                <w:highlight w:val="none"/>
              </w:rPr>
              <w:t>一级指标</w:t>
            </w:r>
          </w:p>
        </w:tc>
        <w:tc>
          <w:tcPr>
            <w:tcW w:w="1559" w:type="dxa"/>
            <w:shd w:val="clear" w:color="auto" w:fill="auto"/>
            <w:vAlign w:val="center"/>
          </w:tcPr>
          <w:p>
            <w:pPr>
              <w:jc w:val="center"/>
              <w:rPr>
                <w:b/>
                <w:sz w:val="18"/>
                <w:szCs w:val="18"/>
                <w:highlight w:val="none"/>
              </w:rPr>
            </w:pPr>
            <w:r>
              <w:rPr>
                <w:rFonts w:hint="eastAsia"/>
                <w:b/>
                <w:sz w:val="18"/>
                <w:szCs w:val="18"/>
                <w:highlight w:val="none"/>
              </w:rPr>
              <w:t>二级指标</w:t>
            </w:r>
          </w:p>
        </w:tc>
        <w:tc>
          <w:tcPr>
            <w:tcW w:w="2410" w:type="dxa"/>
            <w:shd w:val="clear" w:color="auto" w:fill="auto"/>
            <w:vAlign w:val="center"/>
          </w:tcPr>
          <w:p>
            <w:pPr>
              <w:jc w:val="center"/>
              <w:rPr>
                <w:b/>
                <w:sz w:val="18"/>
                <w:szCs w:val="18"/>
                <w:highlight w:val="none"/>
              </w:rPr>
            </w:pPr>
            <w:r>
              <w:rPr>
                <w:rFonts w:hint="eastAsia"/>
                <w:b/>
                <w:sz w:val="18"/>
                <w:szCs w:val="18"/>
                <w:highlight w:val="none"/>
              </w:rPr>
              <w:t>三级指标</w:t>
            </w:r>
          </w:p>
        </w:tc>
        <w:tc>
          <w:tcPr>
            <w:tcW w:w="1448" w:type="dxa"/>
            <w:gridSpan w:val="2"/>
            <w:shd w:val="clear" w:color="auto" w:fill="auto"/>
            <w:vAlign w:val="center"/>
          </w:tcPr>
          <w:p>
            <w:pPr>
              <w:jc w:val="center"/>
              <w:rPr>
                <w:b/>
                <w:sz w:val="18"/>
                <w:szCs w:val="18"/>
                <w:highlight w:val="none"/>
              </w:rPr>
            </w:pPr>
            <w:r>
              <w:rPr>
                <w:rFonts w:hint="eastAsia"/>
                <w:b/>
                <w:sz w:val="18"/>
                <w:szCs w:val="18"/>
                <w:highlight w:val="none"/>
              </w:rPr>
              <w:t>指标值</w:t>
            </w:r>
          </w:p>
        </w:tc>
        <w:tc>
          <w:tcPr>
            <w:tcW w:w="1360" w:type="dxa"/>
            <w:shd w:val="clear" w:color="auto" w:fill="auto"/>
            <w:vAlign w:val="center"/>
          </w:tcPr>
          <w:p>
            <w:pPr>
              <w:jc w:val="center"/>
              <w:rPr>
                <w:b/>
                <w:sz w:val="18"/>
                <w:szCs w:val="18"/>
                <w:highlight w:val="none"/>
              </w:rPr>
            </w:pPr>
            <w:r>
              <w:rPr>
                <w:rFonts w:hint="eastAsia"/>
                <w:b/>
                <w:sz w:val="18"/>
                <w:szCs w:val="18"/>
                <w:highlight w:val="none"/>
              </w:rPr>
              <w:t>指标设定依据</w:t>
            </w:r>
          </w:p>
        </w:tc>
        <w:tc>
          <w:tcPr>
            <w:tcW w:w="1360" w:type="dxa"/>
            <w:shd w:val="clear" w:color="auto" w:fill="auto"/>
            <w:vAlign w:val="center"/>
          </w:tcPr>
          <w:p>
            <w:pPr>
              <w:jc w:val="center"/>
              <w:rPr>
                <w:b/>
                <w:sz w:val="18"/>
                <w:szCs w:val="18"/>
                <w:highlight w:val="none"/>
              </w:rPr>
            </w:pPr>
            <w:r>
              <w:rPr>
                <w:rFonts w:hint="eastAsia"/>
                <w:b/>
                <w:sz w:val="18"/>
                <w:szCs w:val="18"/>
                <w:highlight w:val="none"/>
              </w:rPr>
              <w:t>分值权重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84" w:type="dxa"/>
            <w:vMerge w:val="restart"/>
            <w:shd w:val="clear" w:color="auto" w:fill="auto"/>
            <w:vAlign w:val="center"/>
          </w:tcPr>
          <w:p>
            <w:pPr>
              <w:jc w:val="center"/>
              <w:rPr>
                <w:sz w:val="18"/>
                <w:szCs w:val="18"/>
                <w:highlight w:val="none"/>
              </w:rPr>
            </w:pPr>
            <w:r>
              <w:rPr>
                <w:rFonts w:hint="eastAsia"/>
                <w:sz w:val="18"/>
                <w:szCs w:val="18"/>
                <w:highlight w:val="none"/>
              </w:rPr>
              <w:t>履职效能</w:t>
            </w:r>
          </w:p>
        </w:tc>
        <w:tc>
          <w:tcPr>
            <w:tcW w:w="1559" w:type="dxa"/>
            <w:vMerge w:val="restart"/>
            <w:shd w:val="clear" w:color="auto" w:fill="auto"/>
            <w:vAlign w:val="center"/>
          </w:tcPr>
          <w:p>
            <w:pPr>
              <w:jc w:val="center"/>
              <w:rPr>
                <w:sz w:val="18"/>
                <w:szCs w:val="18"/>
                <w:highlight w:val="none"/>
              </w:rPr>
            </w:pPr>
            <w:r>
              <w:rPr>
                <w:rFonts w:hint="eastAsia"/>
                <w:sz w:val="18"/>
                <w:szCs w:val="18"/>
                <w:highlight w:val="none"/>
              </w:rPr>
              <w:t>质量指标</w:t>
            </w:r>
          </w:p>
        </w:tc>
        <w:tc>
          <w:tcPr>
            <w:tcW w:w="2410" w:type="dxa"/>
            <w:shd w:val="clear" w:color="auto" w:fill="auto"/>
            <w:vAlign w:val="center"/>
          </w:tcPr>
          <w:p>
            <w:pPr>
              <w:jc w:val="center"/>
              <w:rPr>
                <w:sz w:val="18"/>
                <w:szCs w:val="18"/>
                <w:highlight w:val="none"/>
              </w:rPr>
            </w:pPr>
            <w:r>
              <w:rPr>
                <w:rFonts w:hint="eastAsia"/>
                <w:sz w:val="18"/>
                <w:szCs w:val="18"/>
                <w:highlight w:val="none"/>
              </w:rPr>
              <w:t>0到6岁儿童常规疫苗接种率</w:t>
            </w:r>
          </w:p>
        </w:tc>
        <w:tc>
          <w:tcPr>
            <w:tcW w:w="1448" w:type="dxa"/>
            <w:gridSpan w:val="2"/>
            <w:shd w:val="clear" w:color="auto" w:fill="auto"/>
            <w:vAlign w:val="center"/>
          </w:tcPr>
          <w:p>
            <w:pPr>
              <w:jc w:val="center"/>
              <w:rPr>
                <w:sz w:val="18"/>
                <w:szCs w:val="18"/>
                <w:highlight w:val="none"/>
              </w:rPr>
            </w:pPr>
            <w:r>
              <w:rPr>
                <w:rFonts w:hint="eastAsia"/>
                <w:sz w:val="18"/>
                <w:szCs w:val="18"/>
                <w:highlight w:val="none"/>
              </w:rPr>
              <w:t>＞=95%</w:t>
            </w:r>
          </w:p>
        </w:tc>
        <w:tc>
          <w:tcPr>
            <w:tcW w:w="1360" w:type="dxa"/>
            <w:shd w:val="clear" w:color="auto" w:fill="auto"/>
            <w:vAlign w:val="center"/>
          </w:tcPr>
          <w:p>
            <w:pPr>
              <w:jc w:val="center"/>
              <w:rPr>
                <w:sz w:val="18"/>
                <w:szCs w:val="18"/>
                <w:highlight w:val="none"/>
              </w:rPr>
            </w:pPr>
            <w:r>
              <w:rPr>
                <w:rFonts w:hint="eastAsia"/>
                <w:sz w:val="18"/>
                <w:szCs w:val="18"/>
                <w:highlight w:val="none"/>
              </w:rPr>
              <w:t>皮山县木奎拉乡卫生院2025年工作计划</w:t>
            </w:r>
          </w:p>
        </w:tc>
        <w:tc>
          <w:tcPr>
            <w:tcW w:w="1360" w:type="dxa"/>
            <w:shd w:val="clear" w:color="auto" w:fill="auto"/>
            <w:vAlign w:val="center"/>
          </w:tcPr>
          <w:p>
            <w:pPr>
              <w:jc w:val="center"/>
              <w:rPr>
                <w:sz w:val="18"/>
                <w:szCs w:val="18"/>
                <w:highlight w:val="none"/>
              </w:rPr>
            </w:pPr>
            <w:r>
              <w:rPr>
                <w:rFonts w:hint="eastAsia"/>
                <w:sz w:val="18"/>
                <w:szCs w:val="18"/>
                <w:highlight w:val="none"/>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84" w:type="dxa"/>
            <w:vMerge w:val="continue"/>
            <w:shd w:val="clear" w:color="auto" w:fill="auto"/>
            <w:vAlign w:val="center"/>
          </w:tcPr>
          <w:p>
            <w:pPr>
              <w:jc w:val="center"/>
              <w:rPr>
                <w:sz w:val="18"/>
                <w:szCs w:val="18"/>
                <w:highlight w:val="none"/>
              </w:rPr>
            </w:pPr>
          </w:p>
        </w:tc>
        <w:tc>
          <w:tcPr>
            <w:tcW w:w="1559" w:type="dxa"/>
            <w:vMerge w:val="restart"/>
            <w:shd w:val="clear" w:color="auto" w:fill="auto"/>
            <w:vAlign w:val="center"/>
          </w:tcPr>
          <w:p>
            <w:pPr>
              <w:jc w:val="center"/>
              <w:rPr>
                <w:sz w:val="18"/>
                <w:szCs w:val="18"/>
                <w:highlight w:val="none"/>
              </w:rPr>
            </w:pPr>
            <w:r>
              <w:rPr>
                <w:rFonts w:hint="eastAsia"/>
                <w:sz w:val="18"/>
                <w:szCs w:val="18"/>
                <w:highlight w:val="none"/>
              </w:rPr>
              <w:t>质量指标</w:t>
            </w:r>
          </w:p>
        </w:tc>
        <w:tc>
          <w:tcPr>
            <w:tcW w:w="2410" w:type="dxa"/>
            <w:shd w:val="clear" w:color="auto" w:fill="auto"/>
            <w:vAlign w:val="center"/>
          </w:tcPr>
          <w:p>
            <w:pPr>
              <w:jc w:val="center"/>
              <w:rPr>
                <w:sz w:val="18"/>
                <w:szCs w:val="18"/>
                <w:highlight w:val="none"/>
              </w:rPr>
            </w:pPr>
            <w:r>
              <w:rPr>
                <w:rFonts w:hint="eastAsia"/>
                <w:sz w:val="18"/>
                <w:szCs w:val="18"/>
                <w:highlight w:val="none"/>
              </w:rPr>
              <w:t>家庭医生签约服务率</w:t>
            </w:r>
          </w:p>
        </w:tc>
        <w:tc>
          <w:tcPr>
            <w:tcW w:w="1448" w:type="dxa"/>
            <w:gridSpan w:val="2"/>
            <w:shd w:val="clear" w:color="auto" w:fill="auto"/>
            <w:vAlign w:val="center"/>
          </w:tcPr>
          <w:p>
            <w:pPr>
              <w:jc w:val="center"/>
              <w:rPr>
                <w:sz w:val="18"/>
                <w:szCs w:val="18"/>
                <w:highlight w:val="none"/>
              </w:rPr>
            </w:pPr>
            <w:r>
              <w:rPr>
                <w:rFonts w:hint="eastAsia"/>
                <w:sz w:val="18"/>
                <w:szCs w:val="18"/>
                <w:highlight w:val="none"/>
              </w:rPr>
              <w:t>＞=90%</w:t>
            </w:r>
          </w:p>
        </w:tc>
        <w:tc>
          <w:tcPr>
            <w:tcW w:w="1360" w:type="dxa"/>
            <w:shd w:val="clear" w:color="auto" w:fill="auto"/>
            <w:vAlign w:val="center"/>
          </w:tcPr>
          <w:p>
            <w:pPr>
              <w:jc w:val="center"/>
              <w:rPr>
                <w:sz w:val="18"/>
                <w:szCs w:val="18"/>
                <w:highlight w:val="none"/>
              </w:rPr>
            </w:pPr>
            <w:r>
              <w:rPr>
                <w:rFonts w:hint="eastAsia"/>
                <w:sz w:val="18"/>
                <w:szCs w:val="18"/>
                <w:highlight w:val="none"/>
              </w:rPr>
              <w:t>皮山县木奎拉乡卫生院2025年工作计划</w:t>
            </w:r>
          </w:p>
        </w:tc>
        <w:tc>
          <w:tcPr>
            <w:tcW w:w="1360" w:type="dxa"/>
            <w:shd w:val="clear" w:color="auto" w:fill="auto"/>
            <w:vAlign w:val="center"/>
          </w:tcPr>
          <w:p>
            <w:pPr>
              <w:jc w:val="center"/>
              <w:rPr>
                <w:sz w:val="18"/>
                <w:szCs w:val="18"/>
                <w:highlight w:val="none"/>
              </w:rPr>
            </w:pPr>
            <w:r>
              <w:rPr>
                <w:rFonts w:hint="eastAsia"/>
                <w:sz w:val="18"/>
                <w:szCs w:val="18"/>
                <w:highlight w:val="none"/>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84" w:type="dxa"/>
            <w:vMerge w:val="continue"/>
            <w:shd w:val="clear" w:color="auto" w:fill="auto"/>
            <w:vAlign w:val="center"/>
          </w:tcPr>
          <w:p>
            <w:pPr>
              <w:jc w:val="center"/>
              <w:rPr>
                <w:sz w:val="18"/>
                <w:szCs w:val="18"/>
                <w:highlight w:val="none"/>
              </w:rPr>
            </w:pPr>
          </w:p>
        </w:tc>
        <w:tc>
          <w:tcPr>
            <w:tcW w:w="1559" w:type="dxa"/>
            <w:vMerge w:val="restart"/>
            <w:shd w:val="clear" w:color="auto" w:fill="auto"/>
            <w:vAlign w:val="center"/>
          </w:tcPr>
          <w:p>
            <w:pPr>
              <w:jc w:val="center"/>
              <w:rPr>
                <w:sz w:val="18"/>
                <w:szCs w:val="18"/>
                <w:highlight w:val="none"/>
              </w:rPr>
            </w:pPr>
            <w:r>
              <w:rPr>
                <w:rFonts w:hint="eastAsia"/>
                <w:sz w:val="18"/>
                <w:szCs w:val="18"/>
                <w:highlight w:val="none"/>
              </w:rPr>
              <w:t>质量指标</w:t>
            </w:r>
          </w:p>
        </w:tc>
        <w:tc>
          <w:tcPr>
            <w:tcW w:w="2410" w:type="dxa"/>
            <w:shd w:val="clear" w:color="auto" w:fill="auto"/>
            <w:vAlign w:val="center"/>
          </w:tcPr>
          <w:p>
            <w:pPr>
              <w:jc w:val="center"/>
              <w:rPr>
                <w:sz w:val="18"/>
                <w:szCs w:val="18"/>
                <w:highlight w:val="none"/>
              </w:rPr>
            </w:pPr>
            <w:r>
              <w:rPr>
                <w:rFonts w:hint="eastAsia"/>
                <w:sz w:val="18"/>
                <w:szCs w:val="18"/>
                <w:highlight w:val="none"/>
              </w:rPr>
              <w:t>孕产妇系统管理率</w:t>
            </w:r>
          </w:p>
        </w:tc>
        <w:tc>
          <w:tcPr>
            <w:tcW w:w="1448" w:type="dxa"/>
            <w:gridSpan w:val="2"/>
            <w:shd w:val="clear" w:color="auto" w:fill="auto"/>
            <w:vAlign w:val="center"/>
          </w:tcPr>
          <w:p>
            <w:pPr>
              <w:jc w:val="center"/>
              <w:rPr>
                <w:sz w:val="18"/>
                <w:szCs w:val="18"/>
                <w:highlight w:val="none"/>
              </w:rPr>
            </w:pPr>
            <w:r>
              <w:rPr>
                <w:rFonts w:hint="eastAsia"/>
                <w:sz w:val="18"/>
                <w:szCs w:val="18"/>
                <w:highlight w:val="none"/>
              </w:rPr>
              <w:t>＞=85%</w:t>
            </w:r>
          </w:p>
        </w:tc>
        <w:tc>
          <w:tcPr>
            <w:tcW w:w="1360" w:type="dxa"/>
            <w:shd w:val="clear" w:color="auto" w:fill="auto"/>
            <w:vAlign w:val="center"/>
          </w:tcPr>
          <w:p>
            <w:pPr>
              <w:jc w:val="center"/>
              <w:rPr>
                <w:sz w:val="18"/>
                <w:szCs w:val="18"/>
                <w:highlight w:val="none"/>
              </w:rPr>
            </w:pPr>
            <w:r>
              <w:rPr>
                <w:rFonts w:hint="eastAsia"/>
                <w:sz w:val="18"/>
                <w:szCs w:val="18"/>
                <w:highlight w:val="none"/>
              </w:rPr>
              <w:t>皮山县木奎拉乡卫生院2025年工作计划</w:t>
            </w:r>
          </w:p>
        </w:tc>
        <w:tc>
          <w:tcPr>
            <w:tcW w:w="1360" w:type="dxa"/>
            <w:shd w:val="clear" w:color="auto" w:fill="auto"/>
            <w:vAlign w:val="center"/>
          </w:tcPr>
          <w:p>
            <w:pPr>
              <w:jc w:val="center"/>
              <w:rPr>
                <w:sz w:val="18"/>
                <w:szCs w:val="18"/>
                <w:highlight w:val="none"/>
              </w:rPr>
            </w:pPr>
            <w:r>
              <w:rPr>
                <w:rFonts w:hint="eastAsia"/>
                <w:sz w:val="18"/>
                <w:szCs w:val="18"/>
                <w:highlight w:val="none"/>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84" w:type="dxa"/>
            <w:vMerge w:val="continue"/>
            <w:shd w:val="clear" w:color="auto" w:fill="auto"/>
            <w:vAlign w:val="center"/>
          </w:tcPr>
          <w:p>
            <w:pPr>
              <w:jc w:val="center"/>
              <w:rPr>
                <w:sz w:val="18"/>
                <w:szCs w:val="18"/>
                <w:highlight w:val="none"/>
              </w:rPr>
            </w:pPr>
          </w:p>
        </w:tc>
        <w:tc>
          <w:tcPr>
            <w:tcW w:w="1559" w:type="dxa"/>
            <w:vMerge w:val="restart"/>
            <w:shd w:val="clear" w:color="auto" w:fill="auto"/>
            <w:vAlign w:val="center"/>
          </w:tcPr>
          <w:p>
            <w:pPr>
              <w:jc w:val="center"/>
              <w:rPr>
                <w:sz w:val="18"/>
                <w:szCs w:val="18"/>
                <w:highlight w:val="none"/>
              </w:rPr>
            </w:pPr>
            <w:r>
              <w:rPr>
                <w:rFonts w:hint="eastAsia"/>
                <w:sz w:val="18"/>
                <w:szCs w:val="18"/>
                <w:highlight w:val="none"/>
              </w:rPr>
              <w:t>质量指标</w:t>
            </w:r>
          </w:p>
        </w:tc>
        <w:tc>
          <w:tcPr>
            <w:tcW w:w="2410" w:type="dxa"/>
            <w:shd w:val="clear" w:color="auto" w:fill="auto"/>
            <w:vAlign w:val="center"/>
          </w:tcPr>
          <w:p>
            <w:pPr>
              <w:jc w:val="center"/>
              <w:rPr>
                <w:sz w:val="18"/>
                <w:szCs w:val="18"/>
                <w:highlight w:val="none"/>
              </w:rPr>
            </w:pPr>
            <w:r>
              <w:rPr>
                <w:rFonts w:hint="eastAsia"/>
                <w:sz w:val="18"/>
                <w:szCs w:val="18"/>
                <w:highlight w:val="none"/>
              </w:rPr>
              <w:t>糖尿病规范管理率</w:t>
            </w:r>
          </w:p>
        </w:tc>
        <w:tc>
          <w:tcPr>
            <w:tcW w:w="1448" w:type="dxa"/>
            <w:gridSpan w:val="2"/>
            <w:shd w:val="clear" w:color="auto" w:fill="auto"/>
            <w:vAlign w:val="center"/>
          </w:tcPr>
          <w:p>
            <w:pPr>
              <w:jc w:val="center"/>
              <w:rPr>
                <w:sz w:val="18"/>
                <w:szCs w:val="18"/>
                <w:highlight w:val="none"/>
              </w:rPr>
            </w:pPr>
            <w:r>
              <w:rPr>
                <w:rFonts w:hint="eastAsia"/>
                <w:sz w:val="18"/>
                <w:szCs w:val="18"/>
                <w:highlight w:val="none"/>
              </w:rPr>
              <w:t>＞=90%</w:t>
            </w:r>
          </w:p>
        </w:tc>
        <w:tc>
          <w:tcPr>
            <w:tcW w:w="1360" w:type="dxa"/>
            <w:shd w:val="clear" w:color="auto" w:fill="auto"/>
            <w:vAlign w:val="center"/>
          </w:tcPr>
          <w:p>
            <w:pPr>
              <w:jc w:val="center"/>
              <w:rPr>
                <w:sz w:val="18"/>
                <w:szCs w:val="18"/>
                <w:highlight w:val="none"/>
              </w:rPr>
            </w:pPr>
            <w:r>
              <w:rPr>
                <w:rFonts w:hint="eastAsia"/>
                <w:sz w:val="18"/>
                <w:szCs w:val="18"/>
                <w:highlight w:val="none"/>
              </w:rPr>
              <w:t>皮山县木奎拉乡卫生院2025年工作计划</w:t>
            </w:r>
          </w:p>
        </w:tc>
        <w:tc>
          <w:tcPr>
            <w:tcW w:w="1360" w:type="dxa"/>
            <w:shd w:val="clear" w:color="auto" w:fill="auto"/>
            <w:vAlign w:val="center"/>
          </w:tcPr>
          <w:p>
            <w:pPr>
              <w:jc w:val="center"/>
              <w:rPr>
                <w:sz w:val="18"/>
                <w:szCs w:val="18"/>
                <w:highlight w:val="none"/>
              </w:rPr>
            </w:pPr>
            <w:r>
              <w:rPr>
                <w:rFonts w:hint="eastAsia"/>
                <w:sz w:val="18"/>
                <w:szCs w:val="18"/>
                <w:highlight w:val="none"/>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84" w:type="dxa"/>
            <w:vMerge w:val="continue"/>
            <w:shd w:val="clear" w:color="auto" w:fill="auto"/>
            <w:vAlign w:val="center"/>
          </w:tcPr>
          <w:p>
            <w:pPr>
              <w:jc w:val="center"/>
              <w:rPr>
                <w:sz w:val="18"/>
                <w:szCs w:val="18"/>
                <w:highlight w:val="none"/>
              </w:rPr>
            </w:pPr>
          </w:p>
        </w:tc>
        <w:tc>
          <w:tcPr>
            <w:tcW w:w="1559" w:type="dxa"/>
            <w:vMerge w:val="restart"/>
            <w:shd w:val="clear" w:color="auto" w:fill="auto"/>
            <w:vAlign w:val="center"/>
          </w:tcPr>
          <w:p>
            <w:pPr>
              <w:jc w:val="center"/>
              <w:rPr>
                <w:sz w:val="18"/>
                <w:szCs w:val="18"/>
                <w:highlight w:val="none"/>
              </w:rPr>
            </w:pPr>
            <w:r>
              <w:rPr>
                <w:rFonts w:hint="eastAsia"/>
                <w:sz w:val="18"/>
                <w:szCs w:val="18"/>
                <w:highlight w:val="none"/>
              </w:rPr>
              <w:t>质量指标</w:t>
            </w:r>
          </w:p>
        </w:tc>
        <w:tc>
          <w:tcPr>
            <w:tcW w:w="2410" w:type="dxa"/>
            <w:shd w:val="clear" w:color="auto" w:fill="auto"/>
            <w:vAlign w:val="center"/>
          </w:tcPr>
          <w:p>
            <w:pPr>
              <w:jc w:val="center"/>
              <w:rPr>
                <w:sz w:val="18"/>
                <w:szCs w:val="18"/>
                <w:highlight w:val="none"/>
              </w:rPr>
            </w:pPr>
            <w:r>
              <w:rPr>
                <w:rFonts w:hint="eastAsia"/>
                <w:sz w:val="18"/>
                <w:szCs w:val="18"/>
                <w:highlight w:val="none"/>
              </w:rPr>
              <w:t>高血压规范管理率</w:t>
            </w:r>
          </w:p>
        </w:tc>
        <w:tc>
          <w:tcPr>
            <w:tcW w:w="1448" w:type="dxa"/>
            <w:gridSpan w:val="2"/>
            <w:shd w:val="clear" w:color="auto" w:fill="auto"/>
            <w:vAlign w:val="center"/>
          </w:tcPr>
          <w:p>
            <w:pPr>
              <w:jc w:val="center"/>
              <w:rPr>
                <w:sz w:val="18"/>
                <w:szCs w:val="18"/>
                <w:highlight w:val="none"/>
              </w:rPr>
            </w:pPr>
            <w:r>
              <w:rPr>
                <w:rFonts w:hint="eastAsia"/>
                <w:sz w:val="18"/>
                <w:szCs w:val="18"/>
                <w:highlight w:val="none"/>
              </w:rPr>
              <w:t>＞=90%</w:t>
            </w:r>
          </w:p>
        </w:tc>
        <w:tc>
          <w:tcPr>
            <w:tcW w:w="1360" w:type="dxa"/>
            <w:shd w:val="clear" w:color="auto" w:fill="auto"/>
            <w:vAlign w:val="center"/>
          </w:tcPr>
          <w:p>
            <w:pPr>
              <w:jc w:val="center"/>
              <w:rPr>
                <w:sz w:val="18"/>
                <w:szCs w:val="18"/>
                <w:highlight w:val="none"/>
              </w:rPr>
            </w:pPr>
            <w:r>
              <w:rPr>
                <w:rFonts w:hint="eastAsia"/>
                <w:sz w:val="18"/>
                <w:szCs w:val="18"/>
                <w:highlight w:val="none"/>
              </w:rPr>
              <w:t>皮山县木奎拉乡卫生院2025年工作计划</w:t>
            </w:r>
          </w:p>
        </w:tc>
        <w:tc>
          <w:tcPr>
            <w:tcW w:w="1360" w:type="dxa"/>
            <w:shd w:val="clear" w:color="auto" w:fill="auto"/>
            <w:vAlign w:val="center"/>
          </w:tcPr>
          <w:p>
            <w:pPr>
              <w:jc w:val="center"/>
              <w:rPr>
                <w:sz w:val="18"/>
                <w:szCs w:val="18"/>
                <w:highlight w:val="none"/>
              </w:rPr>
            </w:pPr>
            <w:r>
              <w:rPr>
                <w:rFonts w:hint="eastAsia"/>
                <w:sz w:val="18"/>
                <w:szCs w:val="18"/>
                <w:highlight w:val="none"/>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84" w:type="dxa"/>
            <w:vMerge w:val="continue"/>
            <w:shd w:val="clear" w:color="auto" w:fill="auto"/>
            <w:vAlign w:val="center"/>
          </w:tcPr>
          <w:p>
            <w:pPr>
              <w:jc w:val="center"/>
              <w:rPr>
                <w:sz w:val="18"/>
                <w:szCs w:val="18"/>
                <w:highlight w:val="none"/>
              </w:rPr>
            </w:pPr>
          </w:p>
        </w:tc>
        <w:tc>
          <w:tcPr>
            <w:tcW w:w="1559" w:type="dxa"/>
            <w:shd w:val="clear" w:color="auto" w:fill="auto"/>
            <w:vAlign w:val="center"/>
          </w:tcPr>
          <w:p>
            <w:pPr>
              <w:jc w:val="center"/>
              <w:rPr>
                <w:sz w:val="18"/>
                <w:szCs w:val="18"/>
                <w:highlight w:val="none"/>
              </w:rPr>
            </w:pPr>
            <w:r>
              <w:rPr>
                <w:rFonts w:hint="eastAsia"/>
                <w:sz w:val="18"/>
                <w:szCs w:val="18"/>
                <w:highlight w:val="none"/>
              </w:rPr>
              <w:t>质量指标</w:t>
            </w:r>
          </w:p>
        </w:tc>
        <w:tc>
          <w:tcPr>
            <w:tcW w:w="2410" w:type="dxa"/>
            <w:shd w:val="clear" w:color="auto" w:fill="auto"/>
            <w:vAlign w:val="center"/>
          </w:tcPr>
          <w:p>
            <w:pPr>
              <w:jc w:val="center"/>
              <w:rPr>
                <w:sz w:val="18"/>
                <w:szCs w:val="18"/>
                <w:highlight w:val="none"/>
              </w:rPr>
            </w:pPr>
            <w:r>
              <w:rPr>
                <w:rFonts w:hint="eastAsia"/>
                <w:sz w:val="18"/>
                <w:szCs w:val="18"/>
                <w:highlight w:val="none"/>
              </w:rPr>
              <w:t>老年健康管理率</w:t>
            </w:r>
          </w:p>
        </w:tc>
        <w:tc>
          <w:tcPr>
            <w:tcW w:w="1448" w:type="dxa"/>
            <w:gridSpan w:val="2"/>
            <w:shd w:val="clear" w:color="auto" w:fill="auto"/>
            <w:vAlign w:val="center"/>
          </w:tcPr>
          <w:p>
            <w:pPr>
              <w:jc w:val="center"/>
              <w:rPr>
                <w:sz w:val="18"/>
                <w:szCs w:val="18"/>
                <w:highlight w:val="none"/>
              </w:rPr>
            </w:pPr>
            <w:r>
              <w:rPr>
                <w:rFonts w:hint="eastAsia"/>
                <w:sz w:val="18"/>
                <w:szCs w:val="18"/>
                <w:highlight w:val="none"/>
              </w:rPr>
              <w:t>＞=90%</w:t>
            </w:r>
          </w:p>
        </w:tc>
        <w:tc>
          <w:tcPr>
            <w:tcW w:w="1360" w:type="dxa"/>
            <w:shd w:val="clear" w:color="auto" w:fill="auto"/>
            <w:vAlign w:val="center"/>
          </w:tcPr>
          <w:p>
            <w:pPr>
              <w:jc w:val="center"/>
              <w:rPr>
                <w:sz w:val="18"/>
                <w:szCs w:val="18"/>
                <w:highlight w:val="none"/>
              </w:rPr>
            </w:pPr>
            <w:r>
              <w:rPr>
                <w:rFonts w:hint="eastAsia"/>
                <w:sz w:val="18"/>
                <w:szCs w:val="18"/>
                <w:highlight w:val="none"/>
              </w:rPr>
              <w:t>皮山县木奎拉乡卫生院2025年工作计划</w:t>
            </w:r>
          </w:p>
        </w:tc>
        <w:tc>
          <w:tcPr>
            <w:tcW w:w="1360" w:type="dxa"/>
            <w:shd w:val="clear" w:color="auto" w:fill="auto"/>
            <w:vAlign w:val="center"/>
          </w:tcPr>
          <w:p>
            <w:pPr>
              <w:jc w:val="center"/>
              <w:rPr>
                <w:sz w:val="18"/>
                <w:szCs w:val="18"/>
                <w:highlight w:val="none"/>
              </w:rPr>
            </w:pPr>
            <w:r>
              <w:rPr>
                <w:rFonts w:hint="eastAsia"/>
                <w:sz w:val="18"/>
                <w:szCs w:val="18"/>
                <w:highlight w:val="none"/>
              </w:rPr>
              <w:t>15</w:t>
            </w:r>
          </w:p>
        </w:tc>
      </w:tr>
    </w:tbl>
    <w:p>
      <w:pPr>
        <w:rPr>
          <w:highlight w:val="none"/>
        </w:rPr>
      </w:pPr>
    </w:p>
    <w:p>
      <w:pPr>
        <w:spacing w:line="560" w:lineRule="exact"/>
        <w:jc w:val="center"/>
        <w:rPr>
          <w:rFonts w:hint="default" w:ascii="仿宋" w:eastAsia="仿宋"/>
          <w:b/>
          <w:sz w:val="28"/>
          <w:szCs w:val="28"/>
          <w:highlight w:val="none"/>
        </w:rPr>
      </w:pPr>
      <w:r>
        <w:rPr>
          <w:b/>
          <w:sz w:val="44"/>
          <w:szCs w:val="44"/>
          <w:highlight w:val="none"/>
        </w:rPr>
        <w:br w:type="page"/>
      </w:r>
      <w:r>
        <w:rPr>
          <w:rFonts w:hint="eastAsia" w:ascii="仿宋" w:eastAsia="仿宋"/>
          <w:b/>
          <w:sz w:val="28"/>
          <w:szCs w:val="28"/>
          <w:highlight w:val="none"/>
        </w:rPr>
        <w:t>项目支出绩效目标表</w:t>
      </w:r>
    </w:p>
    <w:p>
      <w:pPr>
        <w:spacing w:line="360" w:lineRule="exact"/>
        <w:jc w:val="center"/>
        <w:rPr>
          <w:rFonts w:hint="default" w:ascii="仿宋" w:eastAsia="仿宋"/>
          <w:sz w:val="18"/>
          <w:szCs w:val="18"/>
          <w:highlight w:val="none"/>
        </w:rPr>
      </w:pPr>
      <w:r>
        <w:rPr>
          <w:rFonts w:hint="eastAsia" w:ascii="仿宋" w:eastAsia="仿宋"/>
          <w:sz w:val="18"/>
          <w:szCs w:val="18"/>
          <w:highlight w:val="none"/>
        </w:rPr>
        <w:t>（2025年）</w:t>
      </w:r>
    </w:p>
    <w:tbl>
      <w:tblPr>
        <w:tblStyle w:val="7"/>
        <w:tblW w:w="9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680"/>
        <w:gridCol w:w="1360"/>
        <w:gridCol w:w="680"/>
        <w:gridCol w:w="680"/>
        <w:gridCol w:w="1360"/>
        <w:gridCol w:w="680"/>
        <w:gridCol w:w="680"/>
        <w:gridCol w:w="1360"/>
        <w:gridCol w:w="1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60" w:type="dxa"/>
            <w:gridSpan w:val="2"/>
            <w:shd w:val="clear" w:color="auto" w:fill="auto"/>
            <w:vAlign w:val="center"/>
          </w:tcPr>
          <w:p>
            <w:pPr>
              <w:jc w:val="center"/>
              <w:rPr>
                <w:rFonts w:hint="eastAsia" w:eastAsia="宋体"/>
                <w:b/>
                <w:sz w:val="18"/>
                <w:szCs w:val="18"/>
                <w:highlight w:val="none"/>
                <w:lang w:eastAsia="zh-CN"/>
              </w:rPr>
            </w:pPr>
            <w:r>
              <w:rPr>
                <w:rFonts w:hint="eastAsia"/>
                <w:b/>
                <w:sz w:val="18"/>
                <w:szCs w:val="18"/>
                <w:highlight w:val="none"/>
              </w:rPr>
              <w:t>预算</w:t>
            </w:r>
            <w:r>
              <w:rPr>
                <w:rFonts w:hint="eastAsia"/>
                <w:b/>
                <w:sz w:val="18"/>
                <w:szCs w:val="18"/>
                <w:highlight w:val="none"/>
                <w:lang w:eastAsia="zh-CN"/>
              </w:rPr>
              <w:t>部门</w:t>
            </w:r>
            <w:bookmarkStart w:id="0" w:name="_GoBack"/>
            <w:bookmarkEnd w:id="0"/>
          </w:p>
        </w:tc>
        <w:tc>
          <w:tcPr>
            <w:tcW w:w="8160" w:type="dxa"/>
            <w:gridSpan w:val="8"/>
            <w:shd w:val="clear" w:color="auto" w:fill="auto"/>
            <w:vAlign w:val="center"/>
          </w:tcPr>
          <w:p>
            <w:pPr>
              <w:jc w:val="center"/>
              <w:rPr>
                <w:sz w:val="18"/>
                <w:szCs w:val="18"/>
                <w:highlight w:val="none"/>
              </w:rPr>
            </w:pPr>
            <w:r>
              <w:rPr>
                <w:rFonts w:hint="eastAsia"/>
                <w:sz w:val="18"/>
                <w:szCs w:val="18"/>
                <w:highlight w:val="none"/>
              </w:rPr>
              <w:t>皮山县木奎拉乡卫生院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60" w:type="dxa"/>
            <w:gridSpan w:val="2"/>
            <w:shd w:val="clear" w:color="auto" w:fill="auto"/>
            <w:vAlign w:val="center"/>
          </w:tcPr>
          <w:p>
            <w:pPr>
              <w:jc w:val="center"/>
              <w:rPr>
                <w:rFonts w:hint="eastAsia"/>
                <w:b/>
                <w:sz w:val="18"/>
                <w:szCs w:val="18"/>
                <w:highlight w:val="none"/>
              </w:rPr>
            </w:pPr>
            <w:r>
              <w:rPr>
                <w:rFonts w:hint="eastAsia"/>
                <w:b/>
                <w:sz w:val="18"/>
                <w:szCs w:val="18"/>
                <w:highlight w:val="none"/>
              </w:rPr>
              <w:t>项目名称</w:t>
            </w:r>
          </w:p>
        </w:tc>
        <w:tc>
          <w:tcPr>
            <w:tcW w:w="5440" w:type="dxa"/>
            <w:gridSpan w:val="6"/>
            <w:shd w:val="clear" w:color="auto" w:fill="auto"/>
            <w:vAlign w:val="center"/>
          </w:tcPr>
          <w:p>
            <w:pPr>
              <w:jc w:val="center"/>
              <w:rPr>
                <w:rFonts w:hint="eastAsia"/>
                <w:b/>
                <w:sz w:val="18"/>
                <w:szCs w:val="18"/>
                <w:highlight w:val="none"/>
              </w:rPr>
            </w:pPr>
            <w:r>
              <w:rPr>
                <w:rFonts w:hint="eastAsia"/>
                <w:sz w:val="18"/>
                <w:szCs w:val="18"/>
                <w:highlight w:val="none"/>
              </w:rPr>
              <w:t>2025年单位事业收入资金</w:t>
            </w:r>
          </w:p>
        </w:tc>
        <w:tc>
          <w:tcPr>
            <w:tcW w:w="1360" w:type="dxa"/>
            <w:shd w:val="clear" w:color="auto" w:fill="auto"/>
            <w:vAlign w:val="center"/>
          </w:tcPr>
          <w:p>
            <w:pPr>
              <w:jc w:val="center"/>
              <w:rPr>
                <w:rFonts w:hint="eastAsia"/>
                <w:sz w:val="18"/>
                <w:szCs w:val="18"/>
                <w:highlight w:val="none"/>
              </w:rPr>
            </w:pPr>
            <w:r>
              <w:rPr>
                <w:rFonts w:hint="eastAsia"/>
                <w:b/>
                <w:sz w:val="18"/>
                <w:szCs w:val="18"/>
                <w:highlight w:val="none"/>
              </w:rPr>
              <w:t>项目负责人</w:t>
            </w:r>
          </w:p>
        </w:tc>
        <w:tc>
          <w:tcPr>
            <w:tcW w:w="1360" w:type="dxa"/>
            <w:shd w:val="clear" w:color="auto" w:fill="auto"/>
            <w:vAlign w:val="center"/>
          </w:tcPr>
          <w:p>
            <w:pPr>
              <w:jc w:val="center"/>
              <w:rPr>
                <w:rFonts w:hint="eastAsia"/>
                <w:sz w:val="18"/>
                <w:szCs w:val="18"/>
                <w:highlight w:val="none"/>
              </w:rPr>
            </w:pPr>
            <w:r>
              <w:rPr>
                <w:rFonts w:hint="eastAsia"/>
                <w:sz w:val="18"/>
                <w:szCs w:val="18"/>
                <w:highlight w:val="none"/>
              </w:rPr>
              <w:t>杨金华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60" w:type="dxa"/>
            <w:gridSpan w:val="2"/>
            <w:shd w:val="clear" w:color="auto" w:fill="auto"/>
            <w:vAlign w:val="center"/>
          </w:tcPr>
          <w:p>
            <w:pPr>
              <w:jc w:val="center"/>
              <w:rPr>
                <w:b/>
                <w:sz w:val="18"/>
                <w:szCs w:val="18"/>
                <w:highlight w:val="none"/>
              </w:rPr>
            </w:pPr>
            <w:r>
              <w:rPr>
                <w:rFonts w:hint="eastAsia"/>
                <w:b/>
                <w:sz w:val="18"/>
                <w:szCs w:val="18"/>
                <w:highlight w:val="none"/>
              </w:rPr>
              <w:t>项目资金(万元)</w:t>
            </w:r>
          </w:p>
        </w:tc>
        <w:tc>
          <w:tcPr>
            <w:tcW w:w="1360" w:type="dxa"/>
            <w:shd w:val="clear" w:color="auto" w:fill="auto"/>
            <w:vAlign w:val="center"/>
          </w:tcPr>
          <w:p>
            <w:pPr>
              <w:jc w:val="center"/>
              <w:rPr>
                <w:sz w:val="18"/>
                <w:szCs w:val="18"/>
                <w:highlight w:val="none"/>
              </w:rPr>
            </w:pPr>
            <w:r>
              <w:rPr>
                <w:rFonts w:hint="eastAsia"/>
                <w:sz w:val="18"/>
                <w:szCs w:val="18"/>
                <w:highlight w:val="none"/>
              </w:rPr>
              <w:t>年度预算总额</w:t>
            </w:r>
          </w:p>
        </w:tc>
        <w:tc>
          <w:tcPr>
            <w:tcW w:w="1360" w:type="dxa"/>
            <w:gridSpan w:val="2"/>
            <w:shd w:val="clear" w:color="auto" w:fill="auto"/>
            <w:vAlign w:val="center"/>
          </w:tcPr>
          <w:p>
            <w:pPr>
              <w:jc w:val="center"/>
              <w:rPr>
                <w:sz w:val="18"/>
                <w:szCs w:val="18"/>
                <w:highlight w:val="none"/>
              </w:rPr>
            </w:pPr>
            <w:r>
              <w:rPr>
                <w:rFonts w:hint="eastAsia"/>
                <w:sz w:val="18"/>
                <w:szCs w:val="18"/>
                <w:highlight w:val="none"/>
              </w:rPr>
              <w:t>1,100.00</w:t>
            </w:r>
          </w:p>
        </w:tc>
        <w:tc>
          <w:tcPr>
            <w:tcW w:w="1360" w:type="dxa"/>
            <w:shd w:val="clear" w:color="auto" w:fill="auto"/>
            <w:vAlign w:val="center"/>
          </w:tcPr>
          <w:p>
            <w:pPr>
              <w:jc w:val="center"/>
              <w:rPr>
                <w:sz w:val="18"/>
                <w:szCs w:val="18"/>
                <w:highlight w:val="none"/>
              </w:rPr>
            </w:pPr>
            <w:r>
              <w:rPr>
                <w:rFonts w:hint="eastAsia"/>
                <w:sz w:val="18"/>
                <w:szCs w:val="18"/>
                <w:highlight w:val="none"/>
              </w:rPr>
              <w:t>其中：财政拨款</w:t>
            </w:r>
          </w:p>
        </w:tc>
        <w:tc>
          <w:tcPr>
            <w:tcW w:w="1360" w:type="dxa"/>
            <w:gridSpan w:val="2"/>
            <w:shd w:val="clear" w:color="auto" w:fill="auto"/>
            <w:vAlign w:val="center"/>
          </w:tcPr>
          <w:p>
            <w:pPr>
              <w:jc w:val="center"/>
              <w:rPr>
                <w:sz w:val="18"/>
                <w:szCs w:val="18"/>
                <w:highlight w:val="none"/>
              </w:rPr>
            </w:pPr>
            <w:r>
              <w:rPr>
                <w:rFonts w:hint="eastAsia"/>
                <w:sz w:val="18"/>
                <w:szCs w:val="18"/>
                <w:highlight w:val="none"/>
              </w:rPr>
              <w:t>0.00</w:t>
            </w:r>
          </w:p>
        </w:tc>
        <w:tc>
          <w:tcPr>
            <w:tcW w:w="1360" w:type="dxa"/>
            <w:shd w:val="clear" w:color="auto" w:fill="auto"/>
            <w:vAlign w:val="center"/>
          </w:tcPr>
          <w:p>
            <w:pPr>
              <w:jc w:val="center"/>
              <w:rPr>
                <w:sz w:val="18"/>
                <w:szCs w:val="18"/>
                <w:highlight w:val="none"/>
              </w:rPr>
            </w:pPr>
            <w:r>
              <w:rPr>
                <w:rFonts w:hint="eastAsia"/>
                <w:sz w:val="18"/>
                <w:szCs w:val="18"/>
                <w:highlight w:val="none"/>
              </w:rPr>
              <w:t>其他资金</w:t>
            </w:r>
          </w:p>
        </w:tc>
        <w:tc>
          <w:tcPr>
            <w:tcW w:w="1360" w:type="dxa"/>
            <w:shd w:val="clear" w:color="auto" w:fill="auto"/>
            <w:vAlign w:val="center"/>
          </w:tcPr>
          <w:p>
            <w:pPr>
              <w:jc w:val="center"/>
              <w:rPr>
                <w:sz w:val="18"/>
                <w:szCs w:val="18"/>
                <w:highlight w:val="none"/>
              </w:rPr>
            </w:pPr>
            <w:r>
              <w:rPr>
                <w:rFonts w:hint="eastAsia"/>
                <w:sz w:val="18"/>
                <w:szCs w:val="18"/>
                <w:highlight w:val="none"/>
              </w:rPr>
              <w:t>1,100.00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0" w:hRule="atLeast"/>
        </w:trPr>
        <w:tc>
          <w:tcPr>
            <w:tcW w:w="1360" w:type="dxa"/>
            <w:gridSpan w:val="2"/>
            <w:shd w:val="clear" w:color="auto" w:fill="auto"/>
            <w:vAlign w:val="center"/>
          </w:tcPr>
          <w:p>
            <w:pPr>
              <w:jc w:val="center"/>
              <w:rPr>
                <w:b/>
                <w:sz w:val="18"/>
                <w:szCs w:val="18"/>
                <w:highlight w:val="none"/>
              </w:rPr>
            </w:pPr>
            <w:r>
              <w:rPr>
                <w:rFonts w:hint="eastAsia"/>
                <w:b/>
                <w:sz w:val="18"/>
                <w:szCs w:val="18"/>
                <w:highlight w:val="none"/>
              </w:rPr>
              <w:t>项目总体目标</w:t>
            </w:r>
          </w:p>
        </w:tc>
        <w:tc>
          <w:tcPr>
            <w:tcW w:w="8160" w:type="dxa"/>
            <w:gridSpan w:val="8"/>
            <w:shd w:val="clear" w:color="auto" w:fill="auto"/>
            <w:vAlign w:val="center"/>
          </w:tcPr>
          <w:p>
            <w:pPr>
              <w:rPr>
                <w:b/>
                <w:sz w:val="18"/>
                <w:szCs w:val="18"/>
                <w:highlight w:val="none"/>
              </w:rPr>
            </w:pPr>
            <w:r>
              <w:rPr>
                <w:rFonts w:hint="eastAsia"/>
                <w:color w:val="000000"/>
                <w:sz w:val="18"/>
                <w:szCs w:val="18"/>
                <w:highlight w:val="none"/>
              </w:rPr>
              <w:t>贯彻落实好自治区及地区工作的安排部署，提升疾病疫情防控能力；加强健康教育宣传力度，提高广大人民群众的防病意识；完成自治区及地区下发疾病预防，基本公共卫生，基本医疗任务的各项指标，强化疫情监测和报告工作，规范各项防控工作；加强传染病的</w:t>
            </w:r>
            <w:r>
              <w:rPr>
                <w:rFonts w:hint="eastAsia"/>
                <w:color w:val="000000"/>
                <w:sz w:val="18"/>
                <w:szCs w:val="18"/>
                <w:highlight w:val="none"/>
                <w:lang w:eastAsia="zh-CN"/>
              </w:rPr>
              <w:t>监测预警</w:t>
            </w:r>
            <w:r>
              <w:rPr>
                <w:rFonts w:hint="eastAsia"/>
                <w:color w:val="000000"/>
                <w:sz w:val="18"/>
                <w:szCs w:val="18"/>
                <w:highlight w:val="none"/>
              </w:rPr>
              <w:t>能力及人才队伍的建设。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680" w:type="dxa"/>
            <w:shd w:val="clear" w:color="auto" w:fill="auto"/>
            <w:vAlign w:val="center"/>
          </w:tcPr>
          <w:p>
            <w:pPr>
              <w:jc w:val="center"/>
              <w:rPr>
                <w:b/>
                <w:sz w:val="18"/>
                <w:szCs w:val="18"/>
                <w:highlight w:val="none"/>
              </w:rPr>
            </w:pPr>
            <w:r>
              <w:rPr>
                <w:rFonts w:hint="eastAsia"/>
                <w:b/>
                <w:sz w:val="18"/>
                <w:szCs w:val="18"/>
                <w:highlight w:val="none"/>
              </w:rPr>
              <w:t>一级指标</w:t>
            </w:r>
          </w:p>
        </w:tc>
        <w:tc>
          <w:tcPr>
            <w:tcW w:w="680" w:type="dxa"/>
            <w:shd w:val="clear" w:color="auto" w:fill="auto"/>
            <w:vAlign w:val="center"/>
          </w:tcPr>
          <w:p>
            <w:pPr>
              <w:jc w:val="center"/>
              <w:rPr>
                <w:b/>
                <w:sz w:val="18"/>
                <w:szCs w:val="18"/>
                <w:highlight w:val="none"/>
              </w:rPr>
            </w:pPr>
            <w:r>
              <w:rPr>
                <w:rFonts w:hint="eastAsia"/>
                <w:b/>
                <w:sz w:val="18"/>
                <w:szCs w:val="18"/>
                <w:highlight w:val="none"/>
              </w:rPr>
              <w:t>二级指标</w:t>
            </w:r>
          </w:p>
        </w:tc>
        <w:tc>
          <w:tcPr>
            <w:tcW w:w="2040" w:type="dxa"/>
            <w:gridSpan w:val="2"/>
            <w:shd w:val="clear" w:color="auto" w:fill="auto"/>
            <w:vAlign w:val="center"/>
          </w:tcPr>
          <w:p>
            <w:pPr>
              <w:jc w:val="center"/>
              <w:rPr>
                <w:b/>
                <w:sz w:val="18"/>
                <w:szCs w:val="18"/>
                <w:highlight w:val="none"/>
              </w:rPr>
            </w:pPr>
            <w:r>
              <w:rPr>
                <w:rFonts w:hint="eastAsia"/>
                <w:b/>
                <w:sz w:val="18"/>
                <w:szCs w:val="18"/>
                <w:highlight w:val="none"/>
              </w:rPr>
              <w:t>三级指标</w:t>
            </w:r>
          </w:p>
        </w:tc>
        <w:tc>
          <w:tcPr>
            <w:tcW w:w="680" w:type="dxa"/>
            <w:shd w:val="clear" w:color="auto" w:fill="auto"/>
            <w:vAlign w:val="center"/>
          </w:tcPr>
          <w:p>
            <w:pPr>
              <w:jc w:val="center"/>
              <w:rPr>
                <w:b/>
                <w:sz w:val="18"/>
                <w:szCs w:val="18"/>
                <w:highlight w:val="none"/>
              </w:rPr>
            </w:pPr>
            <w:r>
              <w:rPr>
                <w:rFonts w:hint="eastAsia"/>
                <w:b/>
                <w:sz w:val="18"/>
                <w:szCs w:val="18"/>
                <w:highlight w:val="none"/>
              </w:rPr>
              <w:t>指标值</w:t>
            </w:r>
          </w:p>
        </w:tc>
        <w:tc>
          <w:tcPr>
            <w:tcW w:w="1360" w:type="dxa"/>
            <w:shd w:val="clear" w:color="auto" w:fill="auto"/>
            <w:vAlign w:val="center"/>
          </w:tcPr>
          <w:p>
            <w:pPr>
              <w:jc w:val="center"/>
              <w:rPr>
                <w:b/>
                <w:sz w:val="18"/>
                <w:szCs w:val="18"/>
                <w:highlight w:val="none"/>
              </w:rPr>
            </w:pPr>
            <w:r>
              <w:rPr>
                <w:rFonts w:hint="eastAsia"/>
                <w:b/>
                <w:sz w:val="18"/>
                <w:szCs w:val="18"/>
                <w:highlight w:val="none"/>
              </w:rPr>
              <w:t>指标值设置依据</w:t>
            </w:r>
          </w:p>
        </w:tc>
        <w:tc>
          <w:tcPr>
            <w:tcW w:w="680" w:type="dxa"/>
            <w:shd w:val="clear" w:color="auto" w:fill="auto"/>
            <w:vAlign w:val="center"/>
          </w:tcPr>
          <w:p>
            <w:pPr>
              <w:jc w:val="center"/>
              <w:rPr>
                <w:b/>
                <w:sz w:val="18"/>
                <w:szCs w:val="18"/>
                <w:highlight w:val="none"/>
              </w:rPr>
            </w:pPr>
            <w:r>
              <w:rPr>
                <w:rFonts w:hint="eastAsia"/>
                <w:b/>
                <w:sz w:val="18"/>
                <w:szCs w:val="18"/>
                <w:highlight w:val="none"/>
              </w:rPr>
              <w:t>上年完成值</w:t>
            </w:r>
          </w:p>
        </w:tc>
        <w:tc>
          <w:tcPr>
            <w:tcW w:w="680" w:type="dxa"/>
            <w:shd w:val="clear" w:color="auto" w:fill="auto"/>
            <w:vAlign w:val="center"/>
          </w:tcPr>
          <w:p>
            <w:pPr>
              <w:jc w:val="center"/>
              <w:rPr>
                <w:b/>
                <w:sz w:val="18"/>
                <w:szCs w:val="18"/>
                <w:highlight w:val="none"/>
              </w:rPr>
            </w:pPr>
            <w:r>
              <w:rPr>
                <w:rFonts w:hint="eastAsia"/>
                <w:b/>
                <w:sz w:val="18"/>
                <w:szCs w:val="18"/>
                <w:highlight w:val="none"/>
              </w:rPr>
              <w:t>指标分值权重</w:t>
            </w:r>
          </w:p>
        </w:tc>
        <w:tc>
          <w:tcPr>
            <w:tcW w:w="1360" w:type="dxa"/>
            <w:shd w:val="clear" w:color="auto" w:fill="auto"/>
            <w:vAlign w:val="center"/>
          </w:tcPr>
          <w:p>
            <w:pPr>
              <w:jc w:val="center"/>
              <w:rPr>
                <w:b/>
                <w:sz w:val="18"/>
                <w:szCs w:val="18"/>
                <w:highlight w:val="none"/>
              </w:rPr>
            </w:pPr>
            <w:r>
              <w:rPr>
                <w:rFonts w:hint="eastAsia"/>
                <w:b/>
                <w:sz w:val="18"/>
                <w:szCs w:val="18"/>
                <w:highlight w:val="none"/>
              </w:rPr>
              <w:t>指标赋分规则</w:t>
            </w:r>
          </w:p>
        </w:tc>
        <w:tc>
          <w:tcPr>
            <w:tcW w:w="1360" w:type="dxa"/>
            <w:shd w:val="clear" w:color="auto" w:fill="auto"/>
            <w:vAlign w:val="center"/>
          </w:tcPr>
          <w:p>
            <w:pPr>
              <w:jc w:val="center"/>
              <w:rPr>
                <w:b/>
                <w:sz w:val="18"/>
                <w:szCs w:val="18"/>
                <w:highlight w:val="none"/>
              </w:rPr>
            </w:pPr>
            <w:r>
              <w:rPr>
                <w:rFonts w:hint="eastAsia"/>
                <w:b/>
                <w:sz w:val="18"/>
                <w:szCs w:val="18"/>
                <w:highlight w:val="none"/>
              </w:rPr>
              <w:t>佐证资料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vMerge w:val="restart"/>
            <w:shd w:val="clear" w:color="auto" w:fill="auto"/>
            <w:vAlign w:val="center"/>
          </w:tcPr>
          <w:p>
            <w:pPr>
              <w:jc w:val="center"/>
              <w:rPr>
                <w:rFonts w:hint="eastAsia" w:ascii="宋体" w:hAnsi="宋体"/>
                <w:sz w:val="16"/>
                <w:szCs w:val="16"/>
                <w:highlight w:val="none"/>
              </w:rPr>
            </w:pPr>
            <w:r>
              <w:rPr>
                <w:rFonts w:hint="default" w:ascii="宋体" w:hAnsi="宋体" w:cs="宋体"/>
                <w:sz w:val="16"/>
                <w:szCs w:val="16"/>
                <w:highlight w:val="none"/>
              </w:rPr>
              <w:t>产出指标</w:t>
            </w:r>
          </w:p>
        </w:tc>
        <w:tc>
          <w:tcPr>
            <w:tcW w:w="680" w:type="dxa"/>
            <w:vMerge w:val="restart"/>
            <w:shd w:val="clear" w:color="auto" w:fill="auto"/>
            <w:vAlign w:val="center"/>
          </w:tcPr>
          <w:p>
            <w:pPr>
              <w:jc w:val="center"/>
              <w:rPr>
                <w:rFonts w:hint="eastAsia" w:ascii="宋体" w:hAnsi="宋体"/>
                <w:sz w:val="16"/>
                <w:szCs w:val="16"/>
                <w:highlight w:val="none"/>
              </w:rPr>
            </w:pPr>
            <w:r>
              <w:rPr>
                <w:rFonts w:hint="default" w:ascii="宋体" w:hAnsi="宋体" w:cs="宋体"/>
                <w:sz w:val="16"/>
                <w:szCs w:val="16"/>
                <w:highlight w:val="none"/>
              </w:rPr>
              <w:t>数量指标</w:t>
            </w:r>
          </w:p>
        </w:tc>
        <w:tc>
          <w:tcPr>
            <w:tcW w:w="2040" w:type="dxa"/>
            <w:gridSpan w:val="2"/>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事业收入资金支出</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事业收入资金支出</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预算支出标准</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100%</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15</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按照完成比例赋分</w:t>
            </w:r>
          </w:p>
        </w:tc>
        <w:tc>
          <w:tcPr>
            <w:tcW w:w="1360" w:type="dxa"/>
            <w:shd w:val="clear" w:color="auto" w:fill="auto"/>
            <w:vAlign w:val="center"/>
          </w:tcPr>
          <w:p>
            <w:pPr>
              <w:jc w:val="center"/>
              <w:rPr>
                <w:rFonts w:hint="eastAsia" w:ascii="宋体" w:hAnsi="宋体"/>
                <w:sz w:val="16"/>
                <w:szCs w:val="1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vMerge w:val="continue"/>
            <w:shd w:val="clear" w:color="auto" w:fill="auto"/>
            <w:vAlign w:val="center"/>
          </w:tcPr>
          <w:p>
            <w:pPr>
              <w:jc w:val="center"/>
              <w:rPr>
                <w:rFonts w:hint="eastAsia" w:ascii="宋体" w:hAnsi="宋体"/>
                <w:sz w:val="16"/>
                <w:szCs w:val="16"/>
                <w:highlight w:val="none"/>
              </w:rPr>
            </w:pPr>
          </w:p>
        </w:tc>
        <w:tc>
          <w:tcPr>
            <w:tcW w:w="680" w:type="dxa"/>
            <w:vMerge w:val="restart"/>
            <w:shd w:val="clear" w:color="auto" w:fill="auto"/>
            <w:vAlign w:val="center"/>
          </w:tcPr>
          <w:p>
            <w:pPr>
              <w:jc w:val="center"/>
              <w:rPr>
                <w:rFonts w:hint="eastAsia" w:ascii="宋体" w:hAnsi="宋体"/>
                <w:sz w:val="16"/>
                <w:szCs w:val="16"/>
                <w:highlight w:val="none"/>
              </w:rPr>
            </w:pPr>
            <w:r>
              <w:rPr>
                <w:rFonts w:hint="default" w:ascii="宋体" w:hAnsi="宋体" w:cs="宋体"/>
                <w:sz w:val="16"/>
                <w:szCs w:val="16"/>
                <w:highlight w:val="none"/>
              </w:rPr>
              <w:t>时效指标</w:t>
            </w:r>
          </w:p>
        </w:tc>
        <w:tc>
          <w:tcPr>
            <w:tcW w:w="2040" w:type="dxa"/>
            <w:gridSpan w:val="2"/>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人员类项目支出执行时间</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人员类项目支出执行时间</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算支出标准</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100</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15</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按照完成比例赋分</w:t>
            </w:r>
          </w:p>
        </w:tc>
        <w:tc>
          <w:tcPr>
            <w:tcW w:w="1360" w:type="dxa"/>
            <w:shd w:val="clear" w:color="auto" w:fill="auto"/>
            <w:vAlign w:val="center"/>
          </w:tcPr>
          <w:p>
            <w:pPr>
              <w:jc w:val="center"/>
              <w:rPr>
                <w:rFonts w:hint="eastAsia" w:ascii="宋体" w:hAnsi="宋体"/>
                <w:sz w:val="16"/>
                <w:szCs w:val="1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vMerge w:val="restart"/>
            <w:shd w:val="clear" w:color="auto" w:fill="auto"/>
            <w:vAlign w:val="center"/>
          </w:tcPr>
          <w:p>
            <w:pPr>
              <w:jc w:val="center"/>
              <w:rPr>
                <w:rFonts w:hint="eastAsia" w:ascii="宋体" w:hAnsi="宋体"/>
                <w:sz w:val="16"/>
                <w:szCs w:val="16"/>
                <w:highlight w:val="none"/>
              </w:rPr>
            </w:pPr>
            <w:r>
              <w:rPr>
                <w:rFonts w:hint="default" w:ascii="宋体" w:hAnsi="宋体" w:cs="宋体"/>
                <w:sz w:val="16"/>
                <w:szCs w:val="16"/>
                <w:highlight w:val="none"/>
              </w:rPr>
              <w:t>成本指标</w:t>
            </w:r>
          </w:p>
        </w:tc>
        <w:tc>
          <w:tcPr>
            <w:tcW w:w="680" w:type="dxa"/>
            <w:vMerge w:val="restart"/>
            <w:shd w:val="clear" w:color="auto" w:fill="auto"/>
            <w:vAlign w:val="center"/>
          </w:tcPr>
          <w:p>
            <w:pPr>
              <w:jc w:val="center"/>
              <w:rPr>
                <w:rFonts w:hint="eastAsia" w:ascii="宋体" w:hAnsi="宋体"/>
                <w:sz w:val="16"/>
                <w:szCs w:val="16"/>
                <w:highlight w:val="none"/>
              </w:rPr>
            </w:pPr>
            <w:r>
              <w:rPr>
                <w:rFonts w:hint="default" w:ascii="宋体" w:hAnsi="宋体" w:cs="宋体"/>
                <w:sz w:val="16"/>
                <w:szCs w:val="16"/>
                <w:highlight w:val="none"/>
              </w:rPr>
              <w:t>经济成本指标</w:t>
            </w:r>
          </w:p>
        </w:tc>
        <w:tc>
          <w:tcPr>
            <w:tcW w:w="2040" w:type="dxa"/>
            <w:gridSpan w:val="2"/>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保障事业收入资金支出</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保障事业收入资金支出</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算支出标准</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100%</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20</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按照完成比例赋分</w:t>
            </w:r>
          </w:p>
        </w:tc>
        <w:tc>
          <w:tcPr>
            <w:tcW w:w="1360" w:type="dxa"/>
            <w:shd w:val="clear" w:color="auto" w:fill="auto"/>
            <w:vAlign w:val="center"/>
          </w:tcPr>
          <w:p>
            <w:pPr>
              <w:jc w:val="center"/>
              <w:rPr>
                <w:rFonts w:hint="eastAsia" w:ascii="宋体" w:hAnsi="宋体"/>
                <w:sz w:val="16"/>
                <w:szCs w:val="1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vMerge w:val="restart"/>
            <w:shd w:val="clear" w:color="auto" w:fill="auto"/>
            <w:vAlign w:val="center"/>
          </w:tcPr>
          <w:p>
            <w:pPr>
              <w:jc w:val="center"/>
              <w:rPr>
                <w:rFonts w:hint="eastAsia" w:ascii="宋体" w:hAnsi="宋体"/>
                <w:sz w:val="16"/>
                <w:szCs w:val="16"/>
                <w:highlight w:val="none"/>
              </w:rPr>
            </w:pPr>
            <w:r>
              <w:rPr>
                <w:rFonts w:hint="default" w:ascii="宋体" w:hAnsi="宋体" w:cs="宋体"/>
                <w:sz w:val="16"/>
                <w:szCs w:val="16"/>
                <w:highlight w:val="none"/>
              </w:rPr>
              <w:t>效益指标</w:t>
            </w:r>
          </w:p>
        </w:tc>
        <w:tc>
          <w:tcPr>
            <w:tcW w:w="680" w:type="dxa"/>
            <w:vMerge w:val="restart"/>
            <w:shd w:val="clear" w:color="auto" w:fill="auto"/>
            <w:vAlign w:val="center"/>
          </w:tcPr>
          <w:p>
            <w:pPr>
              <w:jc w:val="center"/>
              <w:rPr>
                <w:rFonts w:hint="eastAsia" w:ascii="宋体" w:hAnsi="宋体"/>
                <w:sz w:val="16"/>
                <w:szCs w:val="16"/>
                <w:highlight w:val="none"/>
              </w:rPr>
            </w:pPr>
            <w:r>
              <w:rPr>
                <w:rFonts w:hint="default" w:ascii="宋体" w:hAnsi="宋体" w:cs="宋体"/>
                <w:sz w:val="16"/>
                <w:szCs w:val="16"/>
                <w:highlight w:val="none"/>
              </w:rPr>
              <w:t>经济效益指标</w:t>
            </w:r>
          </w:p>
        </w:tc>
        <w:tc>
          <w:tcPr>
            <w:tcW w:w="2040" w:type="dxa"/>
            <w:gridSpan w:val="2"/>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可持续影响指标</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可持续影响指标</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算支出标准</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100%</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20</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按照完成比例赋分</w:t>
            </w:r>
          </w:p>
        </w:tc>
        <w:tc>
          <w:tcPr>
            <w:tcW w:w="1360" w:type="dxa"/>
            <w:shd w:val="clear" w:color="auto" w:fill="auto"/>
            <w:vAlign w:val="center"/>
          </w:tcPr>
          <w:p>
            <w:pPr>
              <w:jc w:val="center"/>
              <w:rPr>
                <w:rFonts w:hint="eastAsia" w:ascii="宋体" w:hAnsi="宋体"/>
                <w:sz w:val="16"/>
                <w:szCs w:val="1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vMerge w:val="continue"/>
            <w:shd w:val="clear" w:color="auto" w:fill="auto"/>
            <w:vAlign w:val="center"/>
          </w:tcPr>
          <w:p>
            <w:pPr>
              <w:jc w:val="center"/>
              <w:rPr>
                <w:rFonts w:hint="eastAsia" w:ascii="宋体" w:hAnsi="宋体"/>
                <w:sz w:val="16"/>
                <w:szCs w:val="16"/>
                <w:highlight w:val="none"/>
              </w:rPr>
            </w:pPr>
          </w:p>
        </w:tc>
        <w:tc>
          <w:tcPr>
            <w:tcW w:w="680" w:type="dxa"/>
            <w:vMerge w:val="restart"/>
            <w:shd w:val="clear" w:color="auto" w:fill="auto"/>
            <w:vAlign w:val="center"/>
          </w:tcPr>
          <w:p>
            <w:pPr>
              <w:jc w:val="center"/>
              <w:rPr>
                <w:rFonts w:hint="eastAsia" w:ascii="宋体" w:hAnsi="宋体"/>
                <w:sz w:val="16"/>
                <w:szCs w:val="16"/>
                <w:highlight w:val="none"/>
              </w:rPr>
            </w:pPr>
            <w:r>
              <w:rPr>
                <w:rFonts w:hint="default" w:ascii="宋体" w:hAnsi="宋体" w:cs="宋体"/>
                <w:sz w:val="16"/>
                <w:szCs w:val="16"/>
                <w:highlight w:val="none"/>
              </w:rPr>
              <w:t>生态效益指标</w:t>
            </w:r>
          </w:p>
        </w:tc>
        <w:tc>
          <w:tcPr>
            <w:tcW w:w="2040" w:type="dxa"/>
            <w:gridSpan w:val="2"/>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提升工资人员水平，改进服务</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提升工资人员水平，改进服务</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算支出标准</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100%</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15</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按照完成比例赋分</w:t>
            </w:r>
          </w:p>
        </w:tc>
        <w:tc>
          <w:tcPr>
            <w:tcW w:w="1360" w:type="dxa"/>
            <w:shd w:val="clear" w:color="auto" w:fill="auto"/>
            <w:vAlign w:val="center"/>
          </w:tcPr>
          <w:p>
            <w:pPr>
              <w:jc w:val="center"/>
              <w:rPr>
                <w:rFonts w:hint="eastAsia" w:ascii="宋体" w:hAnsi="宋体"/>
                <w:sz w:val="16"/>
                <w:szCs w:val="1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shd w:val="clear" w:color="auto" w:fill="auto"/>
            <w:vAlign w:val="center"/>
          </w:tcPr>
          <w:p>
            <w:pPr>
              <w:jc w:val="center"/>
              <w:rPr>
                <w:rFonts w:hint="eastAsia" w:ascii="宋体" w:hAnsi="宋体"/>
                <w:sz w:val="16"/>
                <w:szCs w:val="16"/>
                <w:highlight w:val="none"/>
              </w:rPr>
            </w:pPr>
            <w:r>
              <w:rPr>
                <w:rFonts w:hint="default" w:ascii="宋体" w:hAnsi="宋体" w:cs="宋体"/>
                <w:sz w:val="16"/>
                <w:szCs w:val="16"/>
                <w:highlight w:val="none"/>
              </w:rPr>
              <w:t>满意度指标</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cs="宋体"/>
                <w:sz w:val="16"/>
                <w:szCs w:val="16"/>
                <w:highlight w:val="none"/>
              </w:rPr>
              <w:t>满意度指标</w:t>
            </w:r>
          </w:p>
        </w:tc>
        <w:tc>
          <w:tcPr>
            <w:tcW w:w="2040" w:type="dxa"/>
            <w:gridSpan w:val="2"/>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保障群众的医疗服务要求</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保障群众的医疗服务要求</w:t>
            </w:r>
          </w:p>
        </w:tc>
        <w:tc>
          <w:tcPr>
            <w:tcW w:w="1360" w:type="dxa"/>
            <w:shd w:val="clear" w:color="auto" w:fill="auto"/>
            <w:vAlign w:val="center"/>
          </w:tcPr>
          <w:p>
            <w:pPr>
              <w:jc w:val="center"/>
              <w:rPr>
                <w:rFonts w:hint="eastAsia" w:ascii="宋体" w:hAnsi="宋体"/>
                <w:sz w:val="16"/>
                <w:szCs w:val="16"/>
                <w:highlight w:val="none"/>
              </w:rPr>
            </w:pP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100%</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15</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按照完成比例赋分</w:t>
            </w:r>
          </w:p>
        </w:tc>
        <w:tc>
          <w:tcPr>
            <w:tcW w:w="1360" w:type="dxa"/>
            <w:shd w:val="clear" w:color="auto" w:fill="auto"/>
            <w:vAlign w:val="center"/>
          </w:tcPr>
          <w:p>
            <w:pPr>
              <w:jc w:val="center"/>
              <w:rPr>
                <w:rFonts w:hint="eastAsia" w:ascii="宋体" w:hAnsi="宋体"/>
                <w:sz w:val="16"/>
                <w:szCs w:val="16"/>
                <w:highlight w:val="none"/>
              </w:rPr>
            </w:pPr>
          </w:p>
        </w:tc>
      </w:tr>
    </w:tbl>
    <w:p>
      <w:pPr>
        <w:rPr>
          <w:highlight w:val="none"/>
        </w:rPr>
      </w:pPr>
    </w:p>
    <w:p>
      <w:pPr>
        <w:pStyle w:val="4"/>
        <w:numPr>
          <w:ilvl w:val="0"/>
          <w:numId w:val="3"/>
        </w:numPr>
        <w:spacing w:before="0" w:after="0" w:line="560" w:lineRule="exact"/>
        <w:ind w:left="0" w:firstLine="562" w:firstLineChars="201"/>
        <w:rPr>
          <w:rFonts w:hint="default" w:ascii="楷体" w:eastAsia="楷体"/>
          <w:sz w:val="28"/>
          <w:szCs w:val="28"/>
          <w:highlight w:val="none"/>
        </w:rPr>
      </w:pPr>
      <w:r>
        <w:rPr>
          <w:rFonts w:hint="default" w:ascii="楷体" w:eastAsia="楷体"/>
          <w:sz w:val="28"/>
          <w:szCs w:val="28"/>
          <w:highlight w:val="none"/>
        </w:rPr>
        <w:t>其他需说明的事项</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本部门无其他需说明事项。</w:t>
      </w:r>
    </w:p>
    <w:p>
      <w:pPr>
        <w:pStyle w:val="2"/>
        <w:spacing w:before="156" w:beforeLines="50" w:after="156" w:afterLines="50" w:line="560" w:lineRule="exact"/>
        <w:jc w:val="center"/>
        <w:rPr>
          <w:rFonts w:hint="default" w:ascii="黑体" w:eastAsia="黑体"/>
          <w:sz w:val="30"/>
          <w:szCs w:val="30"/>
          <w:highlight w:val="none"/>
        </w:rPr>
      </w:pPr>
      <w:r>
        <w:rPr>
          <w:rFonts w:hint="default" w:ascii="黑体" w:eastAsia="黑体"/>
          <w:sz w:val="30"/>
          <w:szCs w:val="30"/>
          <w:highlight w:val="none"/>
        </w:rPr>
        <w:br w:type="page"/>
      </w:r>
      <w:r>
        <w:rPr>
          <w:rFonts w:hint="eastAsia" w:ascii="黑体" w:eastAsia="黑体"/>
          <w:sz w:val="30"/>
          <w:szCs w:val="30"/>
          <w:highlight w:val="none"/>
        </w:rPr>
        <w:t>第四部分 名词解释</w:t>
      </w:r>
    </w:p>
    <w:p>
      <w:pPr>
        <w:spacing w:line="520" w:lineRule="exact"/>
        <w:ind w:firstLine="560" w:firstLineChars="200"/>
        <w:rPr>
          <w:rFonts w:hint="eastAsia" w:ascii="仿宋" w:hAnsi="CIDFont+F6" w:eastAsia="仿宋"/>
          <w:color w:val="000000"/>
          <w:sz w:val="28"/>
          <w:szCs w:val="28"/>
          <w:highlight w:val="none"/>
        </w:rPr>
      </w:pPr>
      <w:r>
        <w:rPr>
          <w:rFonts w:hint="eastAsia" w:ascii="仿宋" w:hAnsi="CIDFont+F4" w:eastAsia="仿宋"/>
          <w:b/>
          <w:color w:val="000000"/>
          <w:sz w:val="28"/>
          <w:szCs w:val="28"/>
          <w:highlight w:val="none"/>
        </w:rPr>
        <w:t>一、财政拨款:</w:t>
      </w:r>
      <w:r>
        <w:rPr>
          <w:rFonts w:hint="eastAsia" w:ascii="仿宋" w:hAnsi="CIDFont+F6" w:eastAsia="仿宋"/>
          <w:color w:val="000000"/>
          <w:sz w:val="28"/>
          <w:szCs w:val="28"/>
          <w:highlight w:val="none"/>
        </w:rPr>
        <w:t>指由一般公共预算、政府性基金预算、国有资本经营预算安排的财政拨款数。</w:t>
      </w:r>
    </w:p>
    <w:p>
      <w:pPr>
        <w:spacing w:line="520" w:lineRule="exact"/>
        <w:ind w:firstLine="560" w:firstLineChars="200"/>
        <w:rPr>
          <w:rFonts w:hint="eastAsia" w:ascii="仿宋" w:hAnsi="CIDFont+F6" w:eastAsia="仿宋"/>
          <w:color w:val="000000"/>
          <w:sz w:val="28"/>
          <w:szCs w:val="28"/>
          <w:highlight w:val="none"/>
        </w:rPr>
      </w:pPr>
      <w:r>
        <w:rPr>
          <w:rFonts w:hint="eastAsia" w:ascii="仿宋" w:hAnsi="CIDFont+F4" w:eastAsia="仿宋"/>
          <w:b/>
          <w:color w:val="000000"/>
          <w:sz w:val="28"/>
          <w:szCs w:val="28"/>
          <w:highlight w:val="none"/>
        </w:rPr>
        <w:t>二、一般公共预算:</w:t>
      </w:r>
      <w:r>
        <w:rPr>
          <w:rFonts w:hint="eastAsia" w:ascii="仿宋" w:hAnsi="CIDFont+F6" w:eastAsia="仿宋"/>
          <w:color w:val="000000"/>
          <w:sz w:val="28"/>
          <w:szCs w:val="28"/>
          <w:highlight w:val="none"/>
        </w:rPr>
        <w:t>包括公共财政拨款（补助）资金、专项收入。</w:t>
      </w:r>
    </w:p>
    <w:p>
      <w:pPr>
        <w:spacing w:line="520" w:lineRule="exact"/>
        <w:ind w:firstLine="560" w:firstLineChars="200"/>
        <w:rPr>
          <w:rFonts w:hint="eastAsia" w:ascii="仿宋" w:hAnsi="CIDFont+F6" w:eastAsia="仿宋"/>
          <w:color w:val="000000"/>
          <w:sz w:val="28"/>
          <w:szCs w:val="28"/>
          <w:highlight w:val="none"/>
        </w:rPr>
      </w:pPr>
      <w:r>
        <w:rPr>
          <w:rFonts w:hint="eastAsia" w:ascii="仿宋" w:hAnsi="CIDFont+F4" w:eastAsia="仿宋"/>
          <w:b/>
          <w:color w:val="000000"/>
          <w:sz w:val="28"/>
          <w:szCs w:val="28"/>
          <w:highlight w:val="none"/>
        </w:rPr>
        <w:t>三、财政专户管理资金:</w:t>
      </w:r>
      <w:r>
        <w:rPr>
          <w:rFonts w:hint="eastAsia" w:ascii="仿宋" w:hAnsi="CIDFont+F6" w:eastAsia="仿宋"/>
          <w:color w:val="000000"/>
          <w:sz w:val="28"/>
          <w:szCs w:val="28"/>
          <w:highlight w:val="none"/>
        </w:rPr>
        <w:t>包括专户管理行政事业性收费（主要是教育收费）、其他非税收入。</w:t>
      </w:r>
    </w:p>
    <w:p>
      <w:pPr>
        <w:spacing w:line="520" w:lineRule="exact"/>
        <w:ind w:firstLine="560" w:firstLineChars="200"/>
        <w:rPr>
          <w:rFonts w:hint="eastAsia" w:ascii="仿宋" w:hAnsi="CIDFont+F6" w:eastAsia="仿宋"/>
          <w:color w:val="000000"/>
          <w:sz w:val="28"/>
          <w:szCs w:val="28"/>
          <w:highlight w:val="none"/>
        </w:rPr>
      </w:pPr>
      <w:r>
        <w:rPr>
          <w:rFonts w:hint="eastAsia" w:ascii="仿宋" w:hAnsi="CIDFont+F4" w:eastAsia="仿宋"/>
          <w:b/>
          <w:color w:val="000000"/>
          <w:sz w:val="28"/>
          <w:szCs w:val="28"/>
          <w:highlight w:val="none"/>
        </w:rPr>
        <w:t>四、其他资金:</w:t>
      </w:r>
      <w:r>
        <w:rPr>
          <w:rFonts w:hint="eastAsia" w:ascii="仿宋" w:hAnsi="CIDFont+F6" w:eastAsia="仿宋"/>
          <w:color w:val="000000"/>
          <w:sz w:val="28"/>
          <w:szCs w:val="28"/>
          <w:highlight w:val="none"/>
        </w:rPr>
        <w:t>包括事业收入、事业经营收入、其他收入等。</w:t>
      </w:r>
    </w:p>
    <w:p>
      <w:pPr>
        <w:spacing w:line="520" w:lineRule="exact"/>
        <w:ind w:firstLine="560" w:firstLineChars="200"/>
        <w:rPr>
          <w:rFonts w:hint="eastAsia" w:ascii="仿宋" w:hAnsi="CIDFont+F6" w:eastAsia="仿宋"/>
          <w:color w:val="000000"/>
          <w:sz w:val="28"/>
          <w:szCs w:val="28"/>
          <w:highlight w:val="none"/>
        </w:rPr>
      </w:pPr>
      <w:r>
        <w:rPr>
          <w:rFonts w:hint="eastAsia" w:ascii="仿宋" w:hAnsi="CIDFont+F4" w:eastAsia="仿宋"/>
          <w:b/>
          <w:color w:val="000000"/>
          <w:sz w:val="28"/>
          <w:szCs w:val="28"/>
          <w:highlight w:val="none"/>
        </w:rPr>
        <w:t>五、基本支出:</w:t>
      </w:r>
      <w:r>
        <w:rPr>
          <w:rFonts w:hint="eastAsia" w:ascii="仿宋" w:hAnsi="CIDFont+F6" w:eastAsia="仿宋"/>
          <w:color w:val="000000"/>
          <w:sz w:val="28"/>
          <w:szCs w:val="28"/>
          <w:highlight w:val="none"/>
        </w:rPr>
        <w:t>包括人员经费、公用经费（定额）。其中，人员经费包括工资福利支出、对个人和家庭的补助。</w:t>
      </w:r>
    </w:p>
    <w:p>
      <w:pPr>
        <w:spacing w:line="520" w:lineRule="exact"/>
        <w:ind w:firstLine="560" w:firstLineChars="200"/>
        <w:rPr>
          <w:rFonts w:hint="eastAsia" w:ascii="仿宋" w:hAnsi="CIDFont+F6" w:eastAsia="仿宋"/>
          <w:color w:val="000000"/>
          <w:sz w:val="28"/>
          <w:szCs w:val="28"/>
          <w:highlight w:val="none"/>
        </w:rPr>
      </w:pPr>
      <w:r>
        <w:rPr>
          <w:rFonts w:hint="eastAsia" w:ascii="仿宋" w:hAnsi="CIDFont+F4" w:eastAsia="仿宋"/>
          <w:b/>
          <w:color w:val="000000"/>
          <w:sz w:val="28"/>
          <w:szCs w:val="28"/>
          <w:highlight w:val="none"/>
        </w:rPr>
        <w:t>六、项目支出:</w:t>
      </w:r>
      <w:r>
        <w:rPr>
          <w:rFonts w:hint="eastAsia" w:ascii="仿宋" w:hAnsi="CIDFont+F6" w:eastAsia="仿宋"/>
          <w:color w:val="000000"/>
          <w:sz w:val="28"/>
          <w:szCs w:val="28"/>
          <w:highlight w:val="none"/>
        </w:rPr>
        <w:t>部门（单位）支出预算的组成部分，是各部门（单位）为完成其特定的行政任务或事业发展目标，在基本支出预算之外编制的年度项目支出计划。</w:t>
      </w:r>
    </w:p>
    <w:p>
      <w:pPr>
        <w:spacing w:line="520" w:lineRule="exact"/>
        <w:ind w:firstLine="560" w:firstLineChars="200"/>
        <w:rPr>
          <w:rFonts w:hint="eastAsia" w:ascii="仿宋" w:hAnsi="CIDFont+F6" w:eastAsia="仿宋"/>
          <w:color w:val="000000"/>
          <w:sz w:val="28"/>
          <w:szCs w:val="28"/>
          <w:highlight w:val="none"/>
        </w:rPr>
      </w:pPr>
      <w:r>
        <w:rPr>
          <w:rFonts w:hint="eastAsia" w:ascii="仿宋" w:hAnsi="CIDFont+F4" w:eastAsia="仿宋"/>
          <w:b/>
          <w:color w:val="000000"/>
          <w:sz w:val="28"/>
          <w:szCs w:val="28"/>
          <w:highlight w:val="none"/>
        </w:rPr>
        <w:t>七、“三公”经费:</w:t>
      </w:r>
      <w:r>
        <w:rPr>
          <w:rFonts w:hint="eastAsia" w:ascii="仿宋" w:hAnsi="CIDFont+F6" w:eastAsia="仿宋"/>
          <w:color w:val="000000"/>
          <w:sz w:val="28"/>
          <w:szCs w:val="28"/>
          <w:highlight w:val="none"/>
        </w:rPr>
        <w:t>指部门（单位）因公出国（境）费、公务用车购置及运行维护费和公务接待费，其中:因公出国（境）费反映机关和参公事业单位公务出国（境）的国际旅费、国外城市间交通费、住宿费、伙食费、培训费、公杂费等支出；公务用车购置反映机关和参公事业单位公务用车购置支出（含车辆购置税、牌照费）；公务用车运行维护费反映机关和参公事业单位按规定保留的公务用车燃料费、新能源汽车充电费、维修费、过桥过路费、保险费、安全奖励费用等支出；公务接待费反映机关和参公事业单位按规定开支的各类公务接待（含外宾接待）费用。</w:t>
      </w:r>
    </w:p>
    <w:p>
      <w:pPr>
        <w:spacing w:line="520" w:lineRule="exact"/>
        <w:ind w:firstLine="560" w:firstLineChars="200"/>
        <w:rPr>
          <w:rFonts w:hint="eastAsia" w:ascii="仿宋" w:hAnsi="CIDFont+F6" w:eastAsia="仿宋"/>
          <w:color w:val="000000"/>
          <w:sz w:val="28"/>
          <w:szCs w:val="28"/>
          <w:highlight w:val="none"/>
        </w:rPr>
      </w:pPr>
      <w:r>
        <w:rPr>
          <w:rFonts w:hint="eastAsia" w:ascii="仿宋" w:hAnsi="CIDFont+F4" w:eastAsia="仿宋"/>
          <w:b/>
          <w:color w:val="000000"/>
          <w:sz w:val="28"/>
          <w:szCs w:val="28"/>
          <w:highlight w:val="none"/>
        </w:rPr>
        <w:t>八、机关运行经费:</w:t>
      </w:r>
      <w:r>
        <w:rPr>
          <w:rFonts w:hint="eastAsia" w:ascii="仿宋" w:hAnsi="CIDFont+F6" w:eastAsia="仿宋"/>
          <w:color w:val="000000"/>
          <w:sz w:val="28"/>
          <w:szCs w:val="28"/>
          <w:highlight w:val="none"/>
        </w:rPr>
        <w:t>指行政单位（含参照公务员法管理事业单位）的公用经费，包括办公及印刷费、邮电费、差旅费、会议费、福利费、日常维修费、专用材料及一般设备购置费、办公用房水电费、办公用房取暖费、办公用房物业管理费、公务用车运行维护费及其他费用。</w:t>
      </w:r>
    </w:p>
    <w:p>
      <w:pPr>
        <w:spacing w:line="560" w:lineRule="exact"/>
        <w:jc w:val="right"/>
        <w:rPr>
          <w:rFonts w:hint="eastAsia" w:ascii="仿宋" w:hAnsi="CIDFont+F6" w:eastAsia="仿宋"/>
          <w:color w:val="000000"/>
          <w:sz w:val="28"/>
          <w:szCs w:val="28"/>
          <w:highlight w:val="none"/>
        </w:rPr>
      </w:pPr>
      <w:r>
        <w:rPr>
          <w:rFonts w:hint="eastAsia" w:ascii="仿宋" w:hAnsi="CIDFont+F6" w:eastAsia="仿宋"/>
          <w:color w:val="000000"/>
          <w:sz w:val="28"/>
          <w:szCs w:val="28"/>
          <w:highlight w:val="none"/>
        </w:rPr>
        <w:t>皮山县木奎拉乡卫生院</w:t>
      </w:r>
    </w:p>
    <w:p>
      <w:pPr>
        <w:spacing w:line="560" w:lineRule="exact"/>
        <w:jc w:val="right"/>
        <w:rPr>
          <w:rFonts w:hint="default" w:ascii="仿宋" w:eastAsia="仿宋"/>
          <w:sz w:val="28"/>
          <w:szCs w:val="28"/>
          <w:highlight w:val="none"/>
        </w:rPr>
      </w:pPr>
      <w:r>
        <w:rPr>
          <w:rFonts w:hint="eastAsia" w:ascii="仿宋" w:hAnsi="CIDFont+F6" w:eastAsia="仿宋"/>
          <w:color w:val="000000"/>
          <w:sz w:val="28"/>
          <w:szCs w:val="28"/>
          <w:highlight w:val="none"/>
        </w:rPr>
        <w:t>2025年2月8日</w:t>
      </w:r>
    </w:p>
    <w:p/>
    <w:sectPr>
      <w:pgSz w:w="11906" w:h="16838"/>
      <w:pgMar w:top="1134" w:right="1134" w:bottom="1134" w:left="1134"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ArialUnicodeMS">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华文楷体">
    <w:altName w:val="宋体"/>
    <w:panose1 w:val="00000000000000000000"/>
    <w:charset w:val="00"/>
    <w:family w:val="auto"/>
    <w:pitch w:val="default"/>
    <w:sig w:usb0="00000000" w:usb1="00000000" w:usb2="00000010" w:usb3="00000000" w:csb0="0004009F"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CIDFont+F6">
    <w:altName w:val="Times New Roman"/>
    <w:panose1 w:val="00000000000000000000"/>
    <w:charset w:val="00"/>
    <w:family w:val="auto"/>
    <w:pitch w:val="default"/>
    <w:sig w:usb0="00000000" w:usb1="00000000" w:usb2="00000000" w:usb3="00000000" w:csb0="00000000" w:csb1="00000000"/>
  </w:font>
  <w:font w:name="CIDFont+F4">
    <w:altName w:val="Times New Roman"/>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center" w:pos="4153"/>
        <w:tab w:val="right" w:pos="8306"/>
      </w:tabs>
      <w:jc w:val="center"/>
    </w:pPr>
    <w:r>
      <w:fldChar w:fldCharType="begin"/>
    </w:r>
    <w:r>
      <w:instrText xml:space="preserve">PAGE   \* MERGEFORMAT</w:instrText>
    </w:r>
    <w:r>
      <w:fldChar w:fldCharType="separate"/>
    </w:r>
    <w:r>
      <w:rPr>
        <w:lang w:val="zh-CN"/>
      </w:rPr>
      <w:t>17</w:t>
    </w:r>
    <w:r>
      <w:fldChar w:fldCharType="end"/>
    </w:r>
  </w:p>
  <w:p>
    <w:pPr>
      <w:pStyle w:val="5"/>
      <w:tabs>
        <w:tab w:val="center" w:pos="4153"/>
        <w:tab w:val="right" w:pos="8306"/>
      </w:tabs>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3AB576E"/>
    <w:multiLevelType w:val="multilevel"/>
    <w:tmpl w:val="93AB576E"/>
    <w:lvl w:ilvl="0" w:tentative="0">
      <w:start w:val="1"/>
      <w:numFmt w:val="chineseCountingThousand"/>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B1518F6F"/>
    <w:multiLevelType w:val="multilevel"/>
    <w:tmpl w:val="B1518F6F"/>
    <w:lvl w:ilvl="0" w:tentative="0">
      <w:start w:val="1"/>
      <w:numFmt w:val="japaneseCounting"/>
      <w:lvlText w:val="%1、"/>
      <w:lvlJc w:val="left"/>
      <w:pPr>
        <w:ind w:left="420" w:hanging="420"/>
      </w:pPr>
      <w:rPr>
        <w:rFonts w:hint="default"/>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C8244D6D"/>
    <w:multiLevelType w:val="multilevel"/>
    <w:tmpl w:val="C8244D6D"/>
    <w:lvl w:ilvl="0" w:tentative="0">
      <w:start w:val="1"/>
      <w:numFmt w:val="japaneseCounting"/>
      <w:lvlText w:val="%1、"/>
      <w:lvlJc w:val="left"/>
      <w:pPr>
        <w:ind w:left="420" w:hanging="420"/>
      </w:pPr>
      <w:rPr>
        <w:rFonts w:hint="default"/>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89551D"/>
    <w:rsid w:val="23D6373A"/>
    <w:rsid w:val="2682150E"/>
    <w:rsid w:val="2AC56F45"/>
    <w:rsid w:val="35A44FC8"/>
    <w:rsid w:val="425E1D78"/>
    <w:rsid w:val="43FB6E0F"/>
    <w:rsid w:val="4FCB354F"/>
    <w:rsid w:val="534462F9"/>
    <w:rsid w:val="557A078F"/>
    <w:rsid w:val="57A829D2"/>
    <w:rsid w:val="60C136C2"/>
    <w:rsid w:val="67D27EC0"/>
    <w:rsid w:val="73074E39"/>
    <w:rsid w:val="769B0A53"/>
    <w:rsid w:val="780F5D23"/>
    <w:rsid w:val="7E2804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uiPriority w:val="0"/>
    <w:pPr>
      <w:keepNext/>
      <w:keepLines/>
      <w:spacing w:before="340" w:after="330" w:line="578" w:lineRule="auto"/>
      <w:outlineLvl w:val="0"/>
    </w:pPr>
    <w:rPr>
      <w:rFonts w:hint="default" w:ascii="Times New Roman" w:hAnsi="Times New Roman"/>
      <w:b/>
      <w:kern w:val="44"/>
      <w:sz w:val="44"/>
      <w:szCs w:val="44"/>
    </w:rPr>
  </w:style>
  <w:style w:type="paragraph" w:styleId="3">
    <w:name w:val="heading 2"/>
    <w:basedOn w:val="1"/>
    <w:next w:val="1"/>
    <w:uiPriority w:val="0"/>
    <w:pPr>
      <w:keepNext/>
      <w:keepLines/>
      <w:spacing w:before="260" w:after="260" w:line="416" w:lineRule="auto"/>
      <w:outlineLvl w:val="1"/>
    </w:pPr>
    <w:rPr>
      <w:rFonts w:hint="default" w:ascii="Cambria" w:hAnsi="Cambria"/>
      <w:b/>
      <w:sz w:val="32"/>
      <w:szCs w:val="32"/>
    </w:rPr>
  </w:style>
  <w:style w:type="paragraph" w:styleId="4">
    <w:name w:val="heading 3"/>
    <w:basedOn w:val="1"/>
    <w:next w:val="1"/>
    <w:uiPriority w:val="0"/>
    <w:pPr>
      <w:keepNext/>
      <w:keepLines/>
      <w:spacing w:before="260" w:after="260" w:line="416" w:lineRule="auto"/>
      <w:outlineLvl w:val="2"/>
    </w:pPr>
    <w:rPr>
      <w:rFonts w:hint="default" w:ascii="Times New Roman" w:hAnsi="Times New Roman"/>
      <w:b/>
      <w:sz w:val="32"/>
      <w:szCs w:val="32"/>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5">
    <w:name w:val="footer"/>
    <w:basedOn w:val="1"/>
    <w:qFormat/>
    <w:uiPriority w:val="0"/>
    <w:pPr>
      <w:snapToGrid w:val="0"/>
      <w:jc w:val="left"/>
    </w:pPr>
    <w:rPr>
      <w:sz w:val="18"/>
      <w:szCs w:val="18"/>
    </w:rPr>
  </w:style>
  <w:style w:type="paragraph" w:customStyle="1" w:styleId="8">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0</Words>
  <Characters>0</Characters>
  <Lines>0</Lines>
  <Paragraphs>0</Paragraphs>
  <TotalTime>8</TotalTime>
  <ScaleCrop>false</ScaleCrop>
  <LinksUpToDate>false</LinksUpToDate>
  <CharactersWithSpaces>0</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2025-05-23T12:46:00Z</dcterms:created>
  <dc:creator>Lenovo</dc:creator>
  <cp:lastModifiedBy>Administrator</cp:lastModifiedBy>
  <dcterms:modified xsi:type="dcterms:W3CDTF">2025-10-29T02:38:04Z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y fmtid="{D5CDD505-2E9C-101B-9397-08002B2CF9AE}" pid="3" name="KSOTemplateDocerSaveRecord">
    <vt:lpwstr>eyJoZGlkIjoiYjM2MjZkZTE0ZGE0OWM4YWE0YTJkOWNmNmJmZDQ0MDgifQ==</vt:lpwstr>
  </property>
  <property fmtid="{D5CDD505-2E9C-101B-9397-08002B2CF9AE}" pid="4" name="ICV">
    <vt:lpwstr>33373409BF3A4C5B8CA77A671CA6DB4C_12</vt:lpwstr>
  </property>
</Properties>
</file>