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皮山县十八届人民代表大会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outlineLvl w:val="9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第四次会议材料（三）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皮山县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方正小标宋简体"/>
          <w:color w:val="auto"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年财政预算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草案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——2024年2月4日在皮山县第十八届人民代表大会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6" w:firstLineChars="1002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第四次会议上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皮山县财政局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党组书记、局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长 毛华敏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宋体" w:hAnsi="宋体" w:eastAsia="方正小标宋简体" w:cs="Times New Roman"/>
          <w:b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各位代表：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受县人民政府委托，我向大会作2023年财政预算执行情况和2024年财政预算（草案）报告，请予审议。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2023年，财政工作坚持以习近平新时代中国特色社会主义思想为指导，</w:t>
      </w: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全面贯彻党的二十大和二十届二中全会精神，贯彻落实习近平总书记关于新疆工作重要讲话指示批示精神，完整准确全面贯彻新时代党的治疆方略。主动适应经济发展新常态，坚持稳中求进总基调，优化支出结构，保障经济社会平稳健康发展。统筹推进“六稳”“六保”等方面的支撑和保障作用，切实兜牢“三保”底线，有效防范化解债务风险，全年财政</w:t>
      </w: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运行及预算执行情况总体平稳。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yellow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1.一般公共预算收支完成情况。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县一般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公共预算收入完成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27424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同比增长13.6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%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全县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一般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公共预算支出完成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511502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其中：一般公共服务支出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69199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万元；国防支出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1707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万元；公共安全支出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37775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万元；教育支出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149395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万元；科学技术支出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431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万元；文化体育与传媒支出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4413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万元；社会保障和就业支出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53282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；卫生健康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23727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万元；节能环保支出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6807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万元；城乡社区支出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5056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农林水支出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114220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万元；交通运输支出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1054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资源勘探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工业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信息等支出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1971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万元；商业服务业等支出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304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金融支出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12万元；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自然资源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海洋气象等支出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340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万元；住房保障支出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12137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万元；粮油物资储备支出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2042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灾害防治及应急管理支出473万元；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他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15745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万元；债务付息支出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11350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万元；债务发行费用支出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方正仿宋简体" w:cs="方正仿宋简体"/>
          <w:b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　　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一般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公共预算收入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27424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万元，上级补助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495976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，债务转贷收入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59100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上年结转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9646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万元，政府性基金预算调入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6000万元，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收入合计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598146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全县一般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公共预算支出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511502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万元，专项上解支出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3571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万元，债务还本支出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49247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安排预算稳定调节基金224万元，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支出合计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564544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收支相抵，结转下年支出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33602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2.政府性基金预算收支完成情况。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府性基金预算收入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10590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万元，上级专项补助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1541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万元，上年结转结余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26110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专项债券转贷收入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48500万元，预算单位应收未收专项债券付息4693万元（其他应收款），基金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收入合计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91434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万元。政府性基金预算支出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79547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调出资金6000万元，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收支相抵，年终结余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5887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3.县级统筹社保基金预算收支完成情况。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全县社保基金预算收入完成7999万元，社保基金预算支出完成5222万元，本年收支结余2777万元，年末滚存结余27023万元。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4.国有资本经营预算收支完成情况。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全县国有资本经营预算收入完成190万元，国有资本经营预算支出完成3万元，本年收支结余187万元。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5.财政衔接推进乡村振兴补助资金执行情况。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共到位财政衔接推进乡村振兴补助资金90246万元，其中：中央财政衔接推进乡村振兴补助资金53065万元；自治区财政衔接推进乡村振兴补助资金19973万元；涉农整合范围资金11408万元；地方政府债券资金5800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截止年末，财政衔接推进乡村振兴补助资金已支出81631万元，结转下年使用8615万元。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6.政府性债务情况。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上级累计下达皮山县债务总限额555651万元。其中：一般债务限额345151万元；专项债务限额210500万元。政府债务较上年增加107600万元，主要是上级下达的地方政府新增债券。其中：新增一般债券24800万元，再融资债券资金34300万元，新增专项债券48500万元，用于巩固脱贫攻坚成果及改善市政基础设施等民生方面的支出。截至2023年底，全县政府债务余额538249万元，处于债务限额以内，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7.直达资金执行情况。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2023年，皮山县共计收到直达资金196408万元，其中：直达资金196398万元，参照直达资金10万元，已全部完成导入、记账、分配和下达。截至2023年底，已关联支出165606万元，支出进度84.3%。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二、2023年财政工作开展情况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2023年，全县财税部门坚持依法理财、科学理财，不断创新工作思路，努力破解收支难题，防范财政运行风险，认真贯彻执行县委、政府经济工作相关要求，财政各项工作取得新成效。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1.统筹财力，保障重点领域支出。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积极盘活财政存量资金。清理压减结余结转，共清理存量资金16928万元，统筹用于推进经济社会发展、巩固脱贫攻坚成果等重点领域支出。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积极争取上级转移支付资金、援疆资金、地方政府新增债券资金等，强化调控引导。全年下达上级各类转移支付495976万元，其中：返还性收入1547万元，一般性转移支付收入433932万元，专项转移支付收入60497万元，全力保障了重点领域支出需求。争取援疆资金52736万元，有力支持了重点工程项目建设。争取地方政府新增债券73300万元，有效改善了市政基础等民生领域基础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2.依法征管，推进财政稳步增收。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严格落实减税降费政策，坚持依法依规组织收入。全年紧盯重点项目、重点税种监控，深挖增收潜力，增值税、个人所得税、企业所得税增幅显著，全年税收收入同比增长27.51%。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正确处理好依法征管与落实政策的关系，衔接落实好各执收部门明确收入目标，各司其职、各尽所能抓好收入，积极开展清缴欠税工作，在抓大税源的同时，不遗漏零散税源。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进一步加强国有土地有偿出让等收入的征收管理，全力挖掘非税收入潜力，确保非税收入及时足额入库。全年政府性基金收入完成10590万元，有效弥补一般公共预算的财力缺口。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3.强化管理，提升财政管理水平。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落实推进一体化管理改革，搭建财政一体化平台，预算编制及执行通过一体化平台进行，进一步实现了预算编制及执行的标准化、科学化、精细化，财政支出管理和使用日趋规范高效。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强化预决算公开管理，持续提升财政公开的深度和广度。全面公开年度财政预决算、部门预决算、“三公”经费预决算和政府债务管理等情况，财政透明度不断提升。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深化国有资产管理。全面开展清产核资工作，摸清行政事业单位“家底”，完善行政事业单位资产管理信息数据库，国有资产管理水平大幅提升。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FF0000"/>
          <w:sz w:val="32"/>
          <w:szCs w:val="32"/>
          <w:highlight w:val="none"/>
        </w:rPr>
        <w:t>　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　4.积极防范，有力推进风险防控。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严格实行债务限额管理，将政府债务规模严格控制在上级政府核定限额内。规范地方政府新增债券申报、使用、管理等各个环节，切实发挥债券资金在拉动经济增长方面的积极作用。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进一步规范各行政事业单位违规融资举债行为，积极稳妥化解存量债务，如期完成当年债务化解任务，防范债务风险。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落实“保工资、保运转、保基本民生”（以下简称“三保”）在财政支出中的优先顺序，确保年初足额编列“三保”预算，按月监控“三保”执行情况，明确责任，进一步防范“三保”风险。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各位代表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2023年财政各项工作趋于平稳，取得的成绩得益于县委、县人民政府的坚强领导，得益于县人大的监督指导，得益于社会各界的鼎力支持，是全县各族干部群众共同奋斗的结果。同时，我们也清醒地看到，财政运行中还面临不少困难和挑战：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税收收入结构较为单一，收入增长潜力和后劲不足，稳增长任务依然艰巨。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刚性支出压力大，疫情防控、民生保障、基础设施建设等配套支出增长较快，财政保障范围越来越广，收支矛盾日益突出。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防范和化解政府债务风险任务艰巨，偿还债务能力不强等一些关键性问题亟待解决。对此，我们将继续保持临战状态，过硬的工作作风，通过深化改革、完善制度、严格管理等一系列举措，努力加以解决。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highlight w:val="none"/>
        </w:rPr>
        <w:t>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年财政预算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草案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预算编制的指导思想是：坚持以习近平新时代中国特色社会主义思想为指导，全面贯彻党的二十大和二十届二中全会精神，完整准确全面贯彻新时代党的治疆方略，坚持稳中求进总基调，完整、准确、全面贯彻新发展理念，紧紧围绕高质量发展这个首要任务，进一步调整优化财政支出结构，加强重点民生保障，完善地方政府债务管控，树牢过紧日子思想，确保财政平稳安全运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eastAsia="zh-CN"/>
        </w:rPr>
        <w:t>一般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  <w:t>公共预算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eastAsia="zh-CN"/>
        </w:rPr>
        <w:t>收支预计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default" w:ascii="宋体" w:hAnsi="宋体" w:eastAsia="仿宋_GB2312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收入预计：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2024年，全县一般公共预算收入预计完成31000万元，增长13%，其中：税收收入17500万元，非税收入13500万元。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支出预计：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2024年，全县一般公共预算支出预计完成382002万元。其中：一般公共服务支出51396万元；公共安全支出19113万元；教育支出145028万元；科学技术支出215万元；文化体育与传媒支出2407万元；社会保障和就业支出46353万元；卫生健康支出18369万元；节能环保支出2154万元；城乡社区支出2535万元；农林水支出71003万元；交通运输支出3161万元；商业服务业支出340万元；自然资源海洋气象等支出283万元；住房保障支出8115万元；灾害防治及应急管理支出320万元；其他支出97万元；债务付息支出11113万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　　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收支平衡情况：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一般公共预算收入31000万元，上级补助收入318434万元，上年结余33602万元，调入资金114万元，收入合计383150万元。2024年一般公共预算支出382002万元，专项上解支出520万元，债务还本支出628万元，支出合计383150万元，收支相抵，当年收支平衡，年终无结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</w:rPr>
        <w:t>政府性基金预算收支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预计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2024年，全县政府性基金预算收入安排16427万元，上级补助收入425万元，上年结余收入5887万元，收入合计22739万元。全县政府性基金预算支出安排22739万元（其中：专项债付息6827万元），收支相抵，当年收支平衡。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（三）县级统筹社会保险基金预算收支预计。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2024年，县级社保基金预算收入安排7491万元，社保基金支出预算安排4926万元，年末滚存结余26784万元。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/>
          <w:highlight w:val="none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国有资本经营预算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收支预计。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2024年，县级国有资本经营预算收入安排381万元，国有资本经营预算支出预算安排381万元，收支相抵，当年收支平衡。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30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四、202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（一）深化预算改革，统筹推进一体化建设。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深化预算管理体制改革，进一步贯彻执行《预算法》及《预算法实施条例》，增强预算管理环节法制化、制度化观念。加强预算绩效管理，加快构建“全方位、全过程、全覆盖”的预算绩效管理体制，强化绩效评价结果应用，努力提高财政资金使用效益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坚决落实预算一体化改革建设要求，全面推进预算编制、预算执行、预算批复与调整调剂、预算监督、政府采购等一系列财政运行重点环节纳入一体化平台，实行全生命周期预算管理，增强财政预算管理科学化、精细化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（二）全力涵养财源，夯实财政增收基础。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科学研判收入形势，坚持组织收入和培育税源两手抓，强化财税部门工作联动、各执收部门协同作战机制。紧盯重点税源、重大项目的同时，深挖税收和非税收入潜力，坚持依法征收，确保应收尽收、均衡入库。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准确把握和落实新的组合式税费政策，进一步优化营商环境，推动招商项目尽快签约落地，落地项目尽快投产见效，投产项目尽快形成税收收入。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盘活各类资产资源，依法依规处置闲置国有资产，积极盘活财政结余资金，增加收入，增强财政保障能力。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（三）强化风险意识, 坚决兜牢“三保”底线。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坚持量入为出、量力而行，持续加强政府债务监管。积极稳妥化解存量债务，探索多渠道还款来源，确保当年化解任务如期完成，牢牢守住不发生区域性债务风险的底线。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严格落实“三保”支出预算审核和执行监控机制，防范财政运行风险，做到早预警、早介入、早处置，坚决兜牢“三保”底线。皮山县2024年“三保”预计支出</w:t>
      </w:r>
      <w:r>
        <w:rPr>
          <w:rFonts w:hint="eastAsia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320531.38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万元，其中：保基本工资支出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val="en-US" w:eastAsia="zh-CN"/>
        </w:rPr>
        <w:t>201853.25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万元，保运转支出5481.46万元，保基本民生支出113196.67万元。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（四）优化支出结构，提升高质量发展效益。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紧紧围绕县委、政府关于我县巩固脱贫攻坚同乡村振兴有效衔接、产业园区基础设施建设、生态环境保护、民生改善等各领域重点工作要求，补短板强弱项编制项目，积极争取中央预算内资金、地方政府新增债券资金、援疆资金等支持，全力缓解财政压力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加大财政资金统筹力度，优化支出结构，全力保障产业转型发展、重大招商引资、重大项目建设，筹措资金支持工业园区企业发展以及第三产业的发展，强化新形势下财政管理和监督，稳步提升高质量发展效益。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</w:rPr>
        <w:t>各位代表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的财政工作任务艰巨，责任重大。让我们在县委、政府的正确领导下，在人大代表、政协委员及社会各界的监督支持下，凝心聚力，锐意进取，攻坚克难，统筹推进经济社会发展，为实现皮山县社会稳定和长治久安、奋力谱写高质量发展新篇章而努力奋斗。</w:t>
      </w:r>
    </w:p>
    <w:p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highlight w:val="none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4D82"/>
    <w:rsid w:val="002863EC"/>
    <w:rsid w:val="01136D87"/>
    <w:rsid w:val="01BA56C0"/>
    <w:rsid w:val="052A2E08"/>
    <w:rsid w:val="070244F0"/>
    <w:rsid w:val="098F3621"/>
    <w:rsid w:val="0F08362E"/>
    <w:rsid w:val="109214A4"/>
    <w:rsid w:val="14F660E3"/>
    <w:rsid w:val="1A522886"/>
    <w:rsid w:val="1B181693"/>
    <w:rsid w:val="1B3857AC"/>
    <w:rsid w:val="1B394EA3"/>
    <w:rsid w:val="205E6581"/>
    <w:rsid w:val="24E3350E"/>
    <w:rsid w:val="250335C6"/>
    <w:rsid w:val="25E365D5"/>
    <w:rsid w:val="25FC6561"/>
    <w:rsid w:val="275E40FE"/>
    <w:rsid w:val="28396CDB"/>
    <w:rsid w:val="28B123E7"/>
    <w:rsid w:val="2949253C"/>
    <w:rsid w:val="2C7A3945"/>
    <w:rsid w:val="2F171EA5"/>
    <w:rsid w:val="2FE6257E"/>
    <w:rsid w:val="328C2DC3"/>
    <w:rsid w:val="33FB1121"/>
    <w:rsid w:val="36DC7E8D"/>
    <w:rsid w:val="385B1CA7"/>
    <w:rsid w:val="38B262D1"/>
    <w:rsid w:val="3BEB06AB"/>
    <w:rsid w:val="420D20F7"/>
    <w:rsid w:val="43027BBF"/>
    <w:rsid w:val="489F13DE"/>
    <w:rsid w:val="4DDF6E77"/>
    <w:rsid w:val="4EB87219"/>
    <w:rsid w:val="53254AB3"/>
    <w:rsid w:val="532D4A1F"/>
    <w:rsid w:val="542A12B2"/>
    <w:rsid w:val="54306677"/>
    <w:rsid w:val="54B836BA"/>
    <w:rsid w:val="57CE1A88"/>
    <w:rsid w:val="57F35C7E"/>
    <w:rsid w:val="5AF5583A"/>
    <w:rsid w:val="5D922E83"/>
    <w:rsid w:val="605C2077"/>
    <w:rsid w:val="60CF7EC6"/>
    <w:rsid w:val="61FF55A5"/>
    <w:rsid w:val="69314720"/>
    <w:rsid w:val="6B0232DC"/>
    <w:rsid w:val="6B8F2643"/>
    <w:rsid w:val="6E18490F"/>
    <w:rsid w:val="6F0F2569"/>
    <w:rsid w:val="73AA751B"/>
    <w:rsid w:val="75F91290"/>
    <w:rsid w:val="765B0125"/>
    <w:rsid w:val="76B142F9"/>
    <w:rsid w:val="78234D82"/>
    <w:rsid w:val="79030F04"/>
    <w:rsid w:val="7C9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4642</Words>
  <Characters>5190</Characters>
  <Lines>0</Lines>
  <Paragraphs>0</Paragraphs>
  <TotalTime>1</TotalTime>
  <ScaleCrop>false</ScaleCrop>
  <LinksUpToDate>false</LinksUpToDate>
  <CharactersWithSpaces>5201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2023-06-14T10:58:00Z</dcterms:created>
  <dc:creator>Administrator</dc:creator>
  <cp:lastModifiedBy>Administrator</cp:lastModifiedBy>
  <cp:lastPrinted>2024-02-02T07:15:00Z</cp:lastPrinted>
  <dcterms:modified xsi:type="dcterms:W3CDTF">2024-04-17T03:19:02Z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