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皮山县十八届人民代表大会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outlineLvl w:val="9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第四次会议材料（三）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皮山县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年财政预算执行情况和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方正小标宋简体"/>
          <w:color w:val="auto"/>
          <w:sz w:val="44"/>
          <w:szCs w:val="44"/>
          <w:shd w:val="clear" w:color="auto" w:fill="FFFFFF"/>
          <w:lang w:val="en-US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年财政预算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</w:rPr>
        <w:t>草案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宋体" w:hAnsi="宋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——2024年2月4日在皮山县第十八届人民代表大会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3206" w:firstLineChars="1002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第四次会议上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皮山县财政局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党组书记、局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长 毛华敏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rPr>
          <w:rFonts w:hint="eastAsia" w:ascii="宋体" w:hAnsi="宋体" w:eastAsia="方正小标宋简体" w:cs="Times New Roman"/>
          <w:b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各位代表：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受县人民政府委托，我向大会作2023年财政预算执行情况和2024年财政预算（草案）报告，请予审议。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2023年，财政工作坚持以习近平新时代中国特色社会主义思想为指导，</w:t>
      </w: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全面贯彻党的二十大和二十届二中全会精神，贯彻落实习近平总书记关于新疆工作重要讲话指示批示精神，完整准确全面贯彻新时代党的治疆方略。主动适应经济发展新常态，坚持稳中求进总基调，优化支出结构，保障经济社会平稳健康发展。统筹推进“六稳”“六保”等方面的支撑和保障作用，切实兜牢“三保”底线，有效防范化解债务风险，全年财政</w:t>
      </w: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lang w:val="en-US" w:eastAsia="zh-CN" w:bidi="ar-SA"/>
        </w:rPr>
        <w:t>运行及预算执行情况总体平稳。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宋体" w:hAnsi="宋体" w:eastAsia="黑体" w:cs="黑体"/>
          <w:b w:val="0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黑体" w:cs="黑体"/>
          <w:b w:val="0"/>
          <w:bCs/>
          <w:color w:val="auto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yellow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  <w:t>1.一般公共预算收支完成情况。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全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县一般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公共预算收入完成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27424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同比增长13.6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%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全县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一般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公共预算支出完成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511502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其中：一般公共服务支出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69199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万元；国防支出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1707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万元；公共安全支出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37775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万元；教育支出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149395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万元；科学技术支出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431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万元；文化体育与传媒支出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4413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万元；社会保障和就业支出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53282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；卫生健康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23727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万元；节能环保支出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6807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万元；城乡社区支出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5056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农林水支出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114220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万元；交通运输支出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1054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资源勘探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工业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信息等支出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1971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万元；商业服务业等支出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304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金融支出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12万元；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自然资源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海洋气象等支出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340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万元；住房保障支出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12137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万元；粮油物资储备支出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2042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灾害防治及应急管理支出473万元；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其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他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15745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万元；债务付息支出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11350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万元；债务发行费用支出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62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方正仿宋简体" w:cs="方正仿宋简体"/>
          <w:b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　　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一般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公共预算收入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27424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万元，上级补助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495976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，债务转贷收入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59100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上年结转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结余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9646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万元，政府性基金预算调入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6000万元，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财政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收入合计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598146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全县一般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公共预算支出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511502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万元，专项上解支出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3571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万元，债务还本支出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49247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安排预算稳定调节基金224万元，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支出合计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564544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收支相抵，结转下年支出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33602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2.政府性基金预算收支完成情况。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府性基金预算收入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10590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万元，上级专项补助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1541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万元，上年结转结余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26110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专项债券转贷收入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48500万元，预算单位应收未收专项债券付息4693万元（其他应收款），基金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收入合计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91434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万元。政府性基金预算支出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79547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调出资金6000万元，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收支相抵，年终结余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5887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  <w:t>3.县级统筹社保基金预算收支完成情况。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全县社保基金预算收入完成7999万元，社保基金预算支出完成5222万元，本年收支结余2777万元，年末滚存结余27023万元。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lang w:val="en-US" w:eastAsia="zh-CN"/>
        </w:rPr>
        <w:t>4.国有资本经营预算收支完成情况。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全县国有资本经营预算收入完成190万元，国有资本经营预算支出完成3万元，本年收支结余187万元。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5.财政衔接推进乡村振兴补助资金执行情况。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全县共到位财政衔接推进乡村振兴补助资金90246万元，其中：中央财政衔接推进乡村振兴补助资金53065万元；自治区财政衔接推进乡村振兴补助资金19973万元；涉农整合范围资金11408万元；地方政府债券资金5800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截止年末，财政衔接推进乡村振兴补助资金已支出81631万元，结转下年使用8615万元。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6.政府性债务情况。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上级累计下达皮山县债务总限额555651万元。其中：一般债务限额345151万元；专项债务限额210500万元。政府债务较上年增加107600万元，主要是上级下达的地方政府新增债券。其中：新增一般债券24800万元，再融资债券资金34300万元，新增专项债券48500万元，用于巩固脱贫攻坚成果及改善市政基础设施等民生方面的支出。截至2023年底，全县政府债务余额538249万元，处于债务限额以内，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宋体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7.直达资金执行情况。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2023年，皮山县共计收到直达资金196408万元，其中：直达资金196398万元，参照直达资金10万元，已全部完成导入、记账、分配和下达。截至2023年底，已关联支出165606万元，支出进度84.3%。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二、2023年财政工作开展情况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2023年，全县财税部门坚持依法理财、科学理财，不断创新工作思路，努力破解收支难题，防范财政运行风险，认真贯彻执行县委、县政府经济工作相关要求，财政各项工作取得新成效。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1.统筹财力，保障重点领域支出。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积极盘活财政存量资金。清理压减结余结转，共清理存量资金16928万元，统筹用于推进经济社会发展、巩固脱贫攻坚成果等重点领域支出。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积极争取上级转移支付资金、援疆资金、地方政府新增债券资金等，强化调控引导。全年下达上级各类转移支付495976万元，其中：返还性收入1547万元，一般性转移支付收入433932万元，专项转移支付收入60497万元，全力保障了重点领域支出需求。争取援疆资金52736万元，有力支持了重点工程项目建设。争取地方政府新增债券73300万元，有效改善了市政基础等民生领域基础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2.依法征管，推进财政稳步增收。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严格落实减税降费政策，坚持依法依规组织收入。全年紧盯重点项目、重点税种监控，深挖增收潜力，增值税、个人所得税、企业所得税增幅显著，全年税收收入同比增长27.51%。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正确处理好依法征管与落实政策的关系，衔接落实好各执收部门明确收入目标，各司其职、各尽所能抓好收入，积极开展清缴欠税工作，在抓大税源的同时，不遗漏零散税源。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进一步加强国有土地有偿出让等收入的征收管理，全力挖掘非税收入潜力，确保非税收入及时足额入库。全年政府性基金收入完成10590万元，有效弥补一般公共预算的财力缺口。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3.强化管理，提升财政管理水平。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落实推进一体化管理改革，搭建财政一体化平台，预算编制及执行通过一体化平台进行，进一步实现了预算编制及执行的标准化、科学化、精细化，财政支出管理和使用日趋规范高效。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强化预决算公开管理，持续提升财政公开的深度和广度。全面公开年度财政预决算、部门预决算、“三公”经费预决算和政府债务管理等情况，财政透明度不断提升。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深化国有资产管理。全面开展清产核资工作，摸清行政事业单位“家底”，完善行政事业单位资产管理信息数据库，国有资产管理水平大幅提升。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FF0000"/>
          <w:sz w:val="32"/>
          <w:szCs w:val="32"/>
          <w:highlight w:val="none"/>
        </w:rPr>
        <w:t>　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　4.积极防范，有力推进风险防控。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严格实行债务限额管理，将政府债务规模严格控制在上级政府核定限额内。规范地方政府新增债券申报、使用、管理等各个环节，切实发挥债券资金在拉动经济增长方面的积极作用。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进一步规范各行政事业单位违规融资举债行为，积极稳妥化解存量债务，如期完成当年债务化解任务，防范债务风险。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落实“保工资、保运转、保基本民生”（以下简称“三保”）在财政支出中的优先顺序，确保年初足额编列“三保”预算，按月监控“三保”执行情况，明确责任，进一步防范“三保”风险。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各位代表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2023年财政各项工作趋于平稳，取得的成绩得益于县委、县政府的坚强领导，得益于县人大的监督指导，得益于社会各界的鼎力支持，是全县各族干部群众共同奋斗的结果。同时，我们也清醒地看到，财政运行中还面临不少困难和挑战：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税收收入结构较为单一，收入增长潜力和后劲不足，稳增长任务依然艰巨。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刚性支出压力大，疫情防控、民生保障、基础设施建设等配套支出增长较快，财政保障范围越来越广，收支矛盾日益突出。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防范和化解政府债务风险任务艰巨，偿还债务能力不强等一些关键性问题亟待解决。对此，我们将继续保持临战状态，过硬的工作作风，通过深化改革、完善制度、严格管理等一系列举措，努力加以解决。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highlight w:val="none"/>
        </w:rPr>
        <w:t>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年财政预算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t>草案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预算编制的指导思想是：坚持以习近平新时代中国特色社会主义思想为指导，全面贯彻党的二十大和二十届二中全会精神，完整准确全面贯彻新时代党的治疆方略，坚持稳中求进总基调，完整、准确、全面贯彻新发展理念，紧紧围绕高质量发展这个首要任务，进一步调整优化财政支出结构，加强重点民生保障，完善地方政府债务管控，树牢过紧日子思想，确保财政平稳安全运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  <w:lang w:eastAsia="zh-CN"/>
        </w:rPr>
        <w:t>一般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</w:rPr>
        <w:t>公共预算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  <w:lang w:eastAsia="zh-CN"/>
        </w:rPr>
        <w:t>收支预计</w:t>
      </w:r>
      <w:r>
        <w:rPr>
          <w:rFonts w:hint="eastAsia" w:ascii="宋体" w:hAnsi="宋体" w:eastAsia="方正楷体简体" w:cs="方正楷体简体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default" w:ascii="宋体" w:hAnsi="宋体" w:eastAsia="仿宋_GB2312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收入预计：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2024年，全县一般公共预算收入预计完成31000万元，增长13%，其中：税收收入17500万元，非税收入13500万元。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支出预计：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2024年，全县一般公共预算支出预计完成382002万元。其中：一般公共服务支出51396万元；公共安全支出19113万元；教育支出145028万元；科学技术支出215万元；文化体育与传媒支出2407万元；社会保障和就业支出46353万元；卫生健康支出18369万元；节能环保支出2154万元；城乡社区支出2535万元；农林水支出71003万元；交通运输支出3161万元；商业服务业支出340万元；自然资源海洋气象等支出283万元；住房保障支出8115万元；灾害防治及应急管理支出320万元；其他支出97万元；债务付息支出11113万元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　　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收支平衡情况：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一般公共预算收入31000万元，上级补助收入318434万元，上年结余33602万元，调入资金114万元，收入合计383150万元。2024年一般公共预算支出382002万元，专项上解支出520万元，债务还本支出628万元，支出合计383150万元，收支相抵，当年收支平衡，年终无结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</w:rPr>
        <w:t>政府性基金预算收支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预计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2024年，全县政府性基金预算收入安排16427万元，上级补助收入425万元，上年结余收入5887万元，收入合计22739万元。全县政府性基金预算支出安排22739万元（其中：专项债付息6827万元），收支相抵，当年收支平衡。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（三）县级统筹社会保险基金预算收支预计。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2024年，县级社保基金预算收入安排7491万元，社保基金支出预算安排4926万元，年末滚存结余26784万元。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/>
          <w:highlight w:val="none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val="en-US" w:eastAsia="zh-CN"/>
        </w:rPr>
        <w:t>国有资本经营预算</w:t>
      </w: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收支预计。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2024年，县级国有资本经营预算收入安排381万元，国有资本经营预算支出预算安排381万元，收支相抵，当年收支平衡。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30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四、202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年财政工作重点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（一）深化预算改革，统筹推进一体化建设。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深化预算管理体制改革，进一步贯彻执行《预算法》及《预算法实施条例》，增强预算管理环节法制化、制度化观念。加强预算绩效管理，加快构建“全方位、全过程、全覆盖”的预算绩效管理体制，强化绩效评价结果应用，努力提高财政资金使用效益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坚决落实预算一体化改革建设要求，全面推进预算编制、预算执行、预算批复与调整调剂、预算监督、政府采购等一系列财政运行重点环节纳入一体化平台，实行全生命周期预算管理，增强财政预算管理科学化、精细化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（二）全力涵养财源，夯实财政增收基础。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科学研判收入形势，坚持组织收入和培育税源两手抓，强化财税部门工作联动、各执收部门协同作战机制。紧盯重点税源、重大项目的同时，深挖税收和非税收入潜力，坚持依法征收，确保应收尽收、均衡入库。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准确把握和落实新的组合式税费政策，进一步优化营商环境，推动招商项目尽快签约落地，落地项目尽快投产见效，投产项目尽快形成税收收入。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盘活各类资产资源，依法依规处置闲置国有资产，积极盘活财政结余资金，增加收入，增强财政保障能力。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（三）强化风险意识, 坚决兜牢“三保”底线。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坚持量入为出、量力而行，持续加强政府债务监管。积极稳妥化解存量债务，探索多渠道还款来源，确保当年化解任务如期完成，牢牢守住不发生区域性债务风险的底线。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严格落实“三保”支出预算审核和执行监控机制，防范财政运行风险，做到早预警、早介入、早处置，坚决兜牢“三保”底线。皮山县2024年“三保”预计支出</w:t>
      </w:r>
      <w:r>
        <w:rPr>
          <w:rFonts w:hint="eastAsia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320531.38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万元，其中：保基本工资支出</w:t>
      </w: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val="en-US" w:eastAsia="zh-CN"/>
        </w:rPr>
        <w:t>201853.25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万元，保运转支出5481.46万元，保基本民生支出113196.67万元。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（四）优化支出结构，提升高质量发展效益。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紧紧围绕县委、县政府关于我县巩固拓展脱贫攻坚成果</w:t>
      </w:r>
      <w:bookmarkStart w:id="0" w:name="_GoBack"/>
      <w:bookmarkEnd w:id="0"/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同乡村振兴有效衔接、产业园区基础设施建设、生态环境保护、民生改善等各领域重点工作要求，补短板强弱项编制项目，积极争取中央预算内资金、地方政府新增债券资金、援疆资金等支持，全力缓解财政压力。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加大财政资金统筹力度，优化支出结构，全力保障产业转型发展、重大招商引资、重大项目建设，筹措资金支持工业园区企业发展以及第三产业的发展，强化新形势下财政管理和监督，稳步提升高质量发展效益。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</w:rPr>
        <w:t>各位代表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  <w:t>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2024年的财政工作任务艰巨，责任重大。让我们在县委、县政府的正确领导下，在人大代表、政协委员及社会各界的监督支持下，凝心聚力，锐意进取，攻坚克难，统筹推进经济社会发展，为实现皮山县社会稳定和长治久安、奋力谱写高质量发展新篇章而努力奋斗。</w:t>
      </w:r>
    </w:p>
    <w:p>
      <w:pPr>
        <w:pStyle w:val="3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highlight w:val="none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YWVmZjk5OGQ3ZTkwZDY3YjJiNjYwNmNkYmIwM2IifQ=="/>
  </w:docVars>
  <w:rsids>
    <w:rsidRoot w:val="78234D82"/>
    <w:rsid w:val="002863EC"/>
    <w:rsid w:val="01136D87"/>
    <w:rsid w:val="01BA56C0"/>
    <w:rsid w:val="052A2E08"/>
    <w:rsid w:val="070244F0"/>
    <w:rsid w:val="098F3621"/>
    <w:rsid w:val="0B5A630E"/>
    <w:rsid w:val="0F08362E"/>
    <w:rsid w:val="109214A4"/>
    <w:rsid w:val="14F660E3"/>
    <w:rsid w:val="17A0154D"/>
    <w:rsid w:val="19C06AF4"/>
    <w:rsid w:val="1A522886"/>
    <w:rsid w:val="1B181693"/>
    <w:rsid w:val="1B3857AC"/>
    <w:rsid w:val="1B394EA3"/>
    <w:rsid w:val="1ED0692F"/>
    <w:rsid w:val="205E6581"/>
    <w:rsid w:val="24E3350E"/>
    <w:rsid w:val="250335C6"/>
    <w:rsid w:val="25E365D5"/>
    <w:rsid w:val="25FC6561"/>
    <w:rsid w:val="275E40FE"/>
    <w:rsid w:val="28396CDB"/>
    <w:rsid w:val="28B123E7"/>
    <w:rsid w:val="2949253C"/>
    <w:rsid w:val="2C7A3945"/>
    <w:rsid w:val="2F171EA5"/>
    <w:rsid w:val="2FE6257E"/>
    <w:rsid w:val="328C2DC3"/>
    <w:rsid w:val="33FB1121"/>
    <w:rsid w:val="36DC7E8D"/>
    <w:rsid w:val="385B1CA7"/>
    <w:rsid w:val="38B262D1"/>
    <w:rsid w:val="3BEB06AB"/>
    <w:rsid w:val="420D20F7"/>
    <w:rsid w:val="43027BBF"/>
    <w:rsid w:val="489D2DBB"/>
    <w:rsid w:val="489F13DE"/>
    <w:rsid w:val="493558F1"/>
    <w:rsid w:val="4DDF6E77"/>
    <w:rsid w:val="4EB87219"/>
    <w:rsid w:val="53254AB3"/>
    <w:rsid w:val="532D4A1F"/>
    <w:rsid w:val="542A12B2"/>
    <w:rsid w:val="54306677"/>
    <w:rsid w:val="54B836BA"/>
    <w:rsid w:val="57CE1A88"/>
    <w:rsid w:val="57F35C7E"/>
    <w:rsid w:val="5AF5583A"/>
    <w:rsid w:val="5D922E83"/>
    <w:rsid w:val="5D933278"/>
    <w:rsid w:val="605C2077"/>
    <w:rsid w:val="60CF7EC6"/>
    <w:rsid w:val="61FA2BD4"/>
    <w:rsid w:val="61FF55A5"/>
    <w:rsid w:val="69314720"/>
    <w:rsid w:val="6B0232DC"/>
    <w:rsid w:val="6B8F2643"/>
    <w:rsid w:val="6E18490F"/>
    <w:rsid w:val="6F0F2569"/>
    <w:rsid w:val="73AA751B"/>
    <w:rsid w:val="75F91290"/>
    <w:rsid w:val="765B0125"/>
    <w:rsid w:val="76B142F9"/>
    <w:rsid w:val="78234D82"/>
    <w:rsid w:val="79030F04"/>
    <w:rsid w:val="794013BD"/>
    <w:rsid w:val="7C9E514B"/>
    <w:rsid w:val="7DA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4658</Words>
  <Characters>5222</Characters>
  <Lines>0</Lines>
  <Paragraphs>0</Paragraphs>
  <TotalTime>6</TotalTime>
  <ScaleCrop>false</ScaleCrop>
  <LinksUpToDate>false</LinksUpToDate>
  <CharactersWithSpaces>5233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2023-06-14T10:58:00Z</dcterms:created>
  <dc:creator>Administrator</dc:creator>
  <cp:lastModifiedBy>Administrator</cp:lastModifiedBy>
  <cp:lastPrinted>2024-02-02T07:15:00Z</cp:lastPrinted>
  <dcterms:modified xsi:type="dcterms:W3CDTF">2024-05-15T03:22:15Z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2840A178E62F41318C7DF9268BB640DA_12</vt:lpwstr>
  </property>
</Properties>
</file>