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hint="eastAsia" w:ascii="黑体" w:hAnsi="黑体" w:eastAsia="黑体" w:cs="黑体"/>
          <w:position w:val="30"/>
          <w:sz w:val="42"/>
          <w:lang w:val="en-US" w:eastAsia="zh-CN"/>
        </w:rPr>
        <w:t xml:space="preserve"> </w:t>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新疆维吾尔自治区皮山县妇女联合会</w:t>
      </w:r>
    </w:p>
    <w:p>
      <w:pPr>
        <w:spacing w:before="150"/>
        <w:ind w:left="200" w:right="200"/>
        <w:jc w:val="center"/>
      </w:pPr>
      <w:r>
        <w:rPr>
          <w:rFonts w:ascii="黑体" w:hAnsi="黑体" w:eastAsia="黑体" w:cs="黑体"/>
          <w:position w:val="30"/>
          <w:sz w:val="42"/>
        </w:rPr>
        <w:t>2023年单位预算公开</w:t>
      </w:r>
    </w:p>
    <w:p>
      <w:pPr>
        <w:rPr>
          <w:rFonts w:hint="default" w:eastAsiaTheme="minorEastAsia"/>
          <w:lang w:val="en-US" w:eastAsia="zh-CN"/>
        </w:rPr>
      </w:pPr>
      <w: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40"/>
          <w:szCs w:val="40"/>
        </w:rPr>
      </w:pPr>
      <w:r>
        <w:rPr>
          <w:rFonts w:ascii="黑体" w:hAnsi="黑体" w:eastAsia="黑体" w:cs="黑体"/>
          <w:position w:val="30"/>
          <w:sz w:val="40"/>
          <w:szCs w:val="40"/>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 新疆维吾尔自治区皮山县妇女联合会单位概况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一、关于新疆维吾尔自治区皮山县妇女联合会2023年收支预算情况的总体说明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二、关于新疆维吾尔自治区皮山县妇女联合会2023年收入预算情况说明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三、关于新疆维吾尔自治区皮山县妇女联合会2023年支出预算情况说明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四、关于新疆维吾尔自治区皮山县妇女联合会2023年财政拨款收支预算情况的总体说明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五、关于新疆维吾尔自治区皮山县妇女联合会2023年一般公共预算当年拨款情况说明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六、关于新疆维吾尔自治区皮山县妇女联合会2023年一般公共预算基本支出情况说明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七、关于新疆维吾尔自治区皮山县妇女联合会2023年一般公共预算项目支出情况说明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八、关于新疆维吾尔自治区皮山县妇女联合会2023年政府性基金预算拨款情况说明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九、关于新疆维吾尔自治区皮山县妇女联合会2023年国有资本经营预算拨款情况说明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十、关于新疆维吾尔自治区皮山县妇女联合会2023年财政拨款“三公”经费预算情况说明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r>
        <w:rPr>
          <w:sz w:val="32"/>
          <w:szCs w:val="32"/>
        </w:rPr>
        <w:br w:type="textWrapping"/>
      </w:r>
    </w:p>
    <w:p/>
    <w:p/>
    <w:p/>
    <w:p/>
    <w:p/>
    <w:p/>
    <w:p/>
    <w:p/>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198" w:right="198" w:firstLine="499"/>
        <w:jc w:val="center"/>
        <w:textAlignment w:val="auto"/>
        <w:outlineLvl w:val="9"/>
        <w:rPr>
          <w:rFonts w:ascii="黑体" w:hAnsi="黑体" w:eastAsia="黑体" w:cs="黑体"/>
          <w:position w:val="30"/>
          <w:sz w:val="32"/>
        </w:rPr>
      </w:pPr>
      <w:r>
        <w:rPr>
          <w:rFonts w:ascii="黑体" w:hAnsi="黑体" w:eastAsia="黑体" w:cs="黑体"/>
          <w:position w:val="30"/>
          <w:sz w:val="32"/>
        </w:rPr>
        <w:t>新疆维吾尔自治区皮山县妇女联合会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97" w:leftChars="0" w:right="198" w:rightChars="0"/>
        <w:jc w:val="center"/>
        <w:textAlignment w:val="auto"/>
        <w:outlineLvl w:val="9"/>
        <w:rPr>
          <w:sz w:val="32"/>
        </w:rPr>
      </w:pPr>
      <w:r>
        <w:rPr>
          <w:rFonts w:ascii="黑体" w:hAnsi="黑体" w:eastAsia="黑体" w:cs="黑体"/>
          <w:position w:val="30"/>
          <w:sz w:val="32"/>
        </w:rPr>
        <w:t>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rPr>
      </w:pPr>
      <w:r>
        <w:rPr>
          <w:rFonts w:ascii="黑体" w:hAnsi="黑体" w:eastAsia="黑体" w:cs="黑体"/>
          <w:position w:val="20"/>
          <w:sz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rPr>
      </w:pPr>
      <w:r>
        <w:rPr>
          <w:rFonts w:ascii="仿宋" w:hAnsi="仿宋" w:eastAsia="仿宋" w:cs="仿宋"/>
          <w:position w:val="10"/>
          <w:sz w:val="32"/>
        </w:rPr>
        <w:t>代表和维护妇女权益，促进男女平等；组织妇女、引导妇女、服务妇女和维护妇女儿童合法权益。</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rPr>
      </w:pPr>
      <w:r>
        <w:rPr>
          <w:rFonts w:ascii="黑体" w:hAnsi="黑体" w:eastAsia="黑体" w:cs="黑体"/>
          <w:position w:val="20"/>
          <w:sz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rPr>
      </w:pPr>
      <w:r>
        <w:rPr>
          <w:rFonts w:ascii="仿宋" w:hAnsi="仿宋" w:eastAsia="仿宋" w:cs="仿宋"/>
          <w:position w:val="10"/>
          <w:sz w:val="32"/>
        </w:rPr>
        <w:t>新疆维吾尔自治区皮山县妇女联合会无下属预算单位，下设</w:t>
      </w:r>
      <w:r>
        <w:rPr>
          <w:rFonts w:hint="eastAsia" w:ascii="仿宋" w:hAnsi="仿宋" w:eastAsia="仿宋" w:cs="仿宋"/>
          <w:position w:val="10"/>
          <w:sz w:val="32"/>
          <w:lang w:val="en-US" w:eastAsia="zh-CN"/>
        </w:rPr>
        <w:t>1</w:t>
      </w:r>
      <w:r>
        <w:rPr>
          <w:rFonts w:ascii="仿宋" w:hAnsi="仿宋" w:eastAsia="仿宋" w:cs="仿宋"/>
          <w:position w:val="10"/>
          <w:sz w:val="32"/>
        </w:rPr>
        <w:t>个科室，分别是：</w:t>
      </w:r>
      <w:r>
        <w:rPr>
          <w:rFonts w:hint="eastAsia" w:ascii="仿宋" w:hAnsi="仿宋" w:eastAsia="仿宋" w:cs="仿宋"/>
          <w:position w:val="10"/>
          <w:sz w:val="32"/>
          <w:lang w:eastAsia="zh-CN"/>
        </w:rPr>
        <w:t>皮山县妇女儿童工作委员会办公室</w:t>
      </w:r>
      <w:r>
        <w:rPr>
          <w:rFonts w:ascii="仿宋" w:hAnsi="仿宋" w:eastAsia="仿宋" w:cs="仿宋"/>
          <w:position w:val="10"/>
          <w:sz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rPr>
      </w:pPr>
      <w:r>
        <w:rPr>
          <w:rFonts w:ascii="仿宋" w:hAnsi="仿宋" w:eastAsia="仿宋" w:cs="仿宋"/>
          <w:position w:val="10"/>
          <w:sz w:val="32"/>
        </w:rPr>
        <w:t>新疆维吾尔自治区皮山县妇女联合会单位编制数7，实有人数9人，其中：在职7人，增加0人；退休2人，增加0人；离休0人，增加0人。</w:t>
      </w:r>
    </w:p>
    <w:p>
      <w:pPr>
        <w:keepNext w:val="0"/>
        <w:keepLines w:val="0"/>
        <w:pageBreakBefore w:val="0"/>
        <w:widowControl w:val="0"/>
        <w:kinsoku/>
        <w:wordWrap/>
        <w:overflowPunct/>
        <w:topLinePunct w:val="0"/>
        <w:autoSpaceDE/>
        <w:autoSpaceDN/>
        <w:bidi w:val="0"/>
        <w:adjustRightInd/>
        <w:snapToGrid/>
        <w:spacing w:line="560" w:lineRule="exact"/>
        <w:textAlignment w:val="auto"/>
      </w:pPr>
      <w:r>
        <w:br w:type="textWrapping"/>
      </w:r>
    </w:p>
    <w:p>
      <w:pPr>
        <w:keepNext w:val="0"/>
        <w:keepLines w:val="0"/>
        <w:pageBreakBefore w:val="0"/>
        <w:widowControl w:val="0"/>
        <w:kinsoku/>
        <w:wordWrap/>
        <w:overflowPunct/>
        <w:topLinePunct w:val="0"/>
        <w:autoSpaceDE/>
        <w:autoSpaceDN/>
        <w:bidi w:val="0"/>
        <w:adjustRightInd/>
        <w:snapToGrid/>
        <w:spacing w:line="560" w:lineRule="exact"/>
        <w:textAlignment w:val="auto"/>
      </w:pPr>
    </w:p>
    <w:p/>
    <w:p/>
    <w:p/>
    <w:p/>
    <w:p/>
    <w:p/>
    <w:p/>
    <w:p/>
    <w:p/>
    <w:p/>
    <w:p/>
    <w:p/>
    <w:p/>
    <w:p>
      <w:pPr>
        <w:ind w:left="200" w:right="200" w:firstLine="500"/>
        <w:jc w:val="center"/>
        <w:rPr>
          <w:rFonts w:ascii="黑体" w:hAnsi="黑体" w:eastAsia="黑体" w:cs="黑体"/>
          <w:position w:val="30"/>
          <w:sz w:val="32"/>
          <w:szCs w:val="32"/>
        </w:rPr>
      </w:pPr>
    </w:p>
    <w:p>
      <w:pPr>
        <w:ind w:left="200" w:right="200" w:firstLine="500"/>
        <w:jc w:val="center"/>
        <w:rPr>
          <w:sz w:val="32"/>
          <w:szCs w:val="32"/>
        </w:rPr>
      </w:pPr>
      <w:r>
        <w:rPr>
          <w:rFonts w:ascii="黑体" w:hAnsi="黑体" w:eastAsia="黑体" w:cs="黑体"/>
          <w:position w:val="30"/>
          <w:sz w:val="32"/>
          <w:szCs w:val="32"/>
        </w:rPr>
        <w:t>第二部分 2023年单位预算公开表</w:t>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78"/>
        <w:gridCol w:w="1517"/>
        <w:gridCol w:w="2767"/>
        <w:gridCol w:w="1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5" w:type="dxa"/>
            <w:gridSpan w:val="2"/>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4005"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00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0" w:hRule="atLeast"/>
        </w:trPr>
        <w:tc>
          <w:tcPr>
            <w:tcW w:w="28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154.53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137.43</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18.7</w:t>
            </w:r>
            <w:r>
              <w:rPr>
                <w:rFonts w:hint="eastAsia" w:ascii="黑体" w:hAnsi="黑体" w:eastAsia="黑体" w:cs="黑体"/>
                <w:position w:val="8"/>
                <w:sz w:val="16"/>
                <w:lang w:val="en-US" w:eastAsia="zh-CN"/>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42.8</w:t>
            </w:r>
            <w:r>
              <w:rPr>
                <w:rFonts w:hint="eastAsia" w:ascii="黑体" w:hAnsi="黑体" w:eastAsia="黑体" w:cs="黑体"/>
                <w:position w:val="8"/>
                <w:sz w:val="16"/>
                <w:lang w:val="en-US" w:eastAsia="zh-CN"/>
              </w:rPr>
              <w:t>0</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42.8</w:t>
            </w:r>
            <w:r>
              <w:rPr>
                <w:rFonts w:hint="eastAsia" w:ascii="黑体" w:hAnsi="黑体" w:eastAsia="黑体" w:cs="黑体"/>
                <w:position w:val="8"/>
                <w:sz w:val="16"/>
                <w:lang w:val="en-US" w:eastAsia="zh-CN"/>
              </w:rPr>
              <w:t>0</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42.8</w:t>
            </w:r>
            <w:r>
              <w:rPr>
                <w:rFonts w:hint="eastAsia" w:ascii="黑体" w:hAnsi="黑体" w:eastAsia="黑体" w:cs="黑体"/>
                <w:position w:val="8"/>
                <w:sz w:val="16"/>
                <w:lang w:val="en-US" w:eastAsia="zh-CN"/>
              </w:rPr>
              <w:t>0</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183.23</w:t>
            </w:r>
          </w:p>
        </w:tc>
        <w:tc>
          <w:tcPr>
            <w:tcW w:w="27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183.23</w:t>
            </w:r>
          </w:p>
        </w:tc>
      </w:tr>
    </w:tbl>
    <w:tbl>
      <w:tblPr>
        <w:tblStyle w:val="6"/>
        <w:tblpPr w:leftFromText="180" w:rightFromText="180" w:vertAnchor="text" w:horzAnchor="page" w:tblpX="1813" w:tblpY="22"/>
        <w:tblOverlap w:val="never"/>
        <w:tblW w:w="89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86"/>
        <w:gridCol w:w="486"/>
        <w:gridCol w:w="1"/>
        <w:gridCol w:w="485"/>
        <w:gridCol w:w="1135"/>
        <w:gridCol w:w="623"/>
        <w:gridCol w:w="584"/>
        <w:gridCol w:w="633"/>
        <w:gridCol w:w="750"/>
        <w:gridCol w:w="667"/>
        <w:gridCol w:w="633"/>
        <w:gridCol w:w="617"/>
        <w:gridCol w:w="700"/>
        <w:gridCol w:w="500"/>
        <w:gridCol w:w="146"/>
        <w:gridCol w:w="293"/>
        <w:gridCol w:w="1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00" w:type="dxa"/>
            <w:gridSpan w:val="14"/>
            <w:tcBorders>
              <w:top w:val="nil"/>
              <w:left w:val="nil"/>
              <w:bottom w:val="nil"/>
              <w:right w:val="nil"/>
            </w:tcBorders>
            <w:vAlign w:val="center"/>
          </w:tcPr>
          <w:p>
            <w:pPr>
              <w:ind w:left="150"/>
              <w:jc w:val="left"/>
            </w:pPr>
            <w:r>
              <w:rPr>
                <w:rFonts w:ascii="仿宋" w:hAnsi="仿宋" w:eastAsia="仿宋" w:cs="仿宋"/>
                <w:position w:val="8"/>
                <w:sz w:val="20"/>
              </w:rPr>
              <w:t>表2</w:t>
            </w:r>
          </w:p>
        </w:tc>
        <w:tc>
          <w:tcPr>
            <w:tcW w:w="146" w:type="dxa"/>
            <w:tcBorders>
              <w:top w:val="nil"/>
              <w:left w:val="nil"/>
              <w:bottom w:val="nil"/>
              <w:right w:val="nil"/>
            </w:tcBorders>
            <w:vAlign w:val="center"/>
          </w:tcPr>
          <w:p>
            <w:pPr>
              <w:ind w:left="150"/>
              <w:jc w:val="left"/>
              <w:rPr>
                <w:rFonts w:ascii="仿宋" w:hAnsi="仿宋" w:eastAsia="仿宋" w:cs="仿宋"/>
                <w:position w:val="8"/>
                <w:sz w:val="20"/>
              </w:rPr>
            </w:pPr>
          </w:p>
        </w:tc>
        <w:tc>
          <w:tcPr>
            <w:tcW w:w="473" w:type="dxa"/>
            <w:gridSpan w:val="2"/>
            <w:tcBorders>
              <w:top w:val="nil"/>
              <w:left w:val="nil"/>
              <w:bottom w:val="nil"/>
              <w:right w:val="nil"/>
            </w:tcBorders>
            <w:vAlign w:val="center"/>
          </w:tcPr>
          <w:p>
            <w:pPr>
              <w:ind w:left="150"/>
              <w:jc w:val="left"/>
              <w:rPr>
                <w:rFonts w:ascii="仿宋" w:hAnsi="仿宋" w:eastAsia="仿宋" w:cs="仿宋"/>
                <w:position w:val="8"/>
                <w:sz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00" w:type="dxa"/>
            <w:gridSpan w:val="14"/>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c>
          <w:tcPr>
            <w:tcW w:w="146" w:type="dxa"/>
            <w:tcBorders>
              <w:top w:val="nil"/>
              <w:left w:val="nil"/>
              <w:bottom w:val="nil"/>
              <w:right w:val="nil"/>
            </w:tcBorders>
            <w:vAlign w:val="center"/>
          </w:tcPr>
          <w:p>
            <w:pPr>
              <w:ind w:left="150"/>
              <w:jc w:val="center"/>
              <w:rPr>
                <w:rFonts w:ascii="黑体" w:hAnsi="黑体" w:eastAsia="黑体" w:cs="黑体"/>
                <w:position w:val="15"/>
                <w:sz w:val="28"/>
              </w:rPr>
            </w:pPr>
          </w:p>
        </w:tc>
        <w:tc>
          <w:tcPr>
            <w:tcW w:w="473" w:type="dxa"/>
            <w:gridSpan w:val="2"/>
            <w:tcBorders>
              <w:top w:val="nil"/>
              <w:left w:val="nil"/>
              <w:bottom w:val="nil"/>
              <w:right w:val="nil"/>
            </w:tcBorders>
            <w:vAlign w:val="center"/>
          </w:tcPr>
          <w:p>
            <w:pPr>
              <w:ind w:left="150"/>
              <w:jc w:val="center"/>
              <w:rPr>
                <w:rFonts w:ascii="黑体" w:hAnsi="黑体" w:eastAsia="黑体" w:cs="黑体"/>
                <w:position w:val="15"/>
                <w:sz w:val="2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0" w:hRule="atLeast"/>
        </w:trPr>
        <w:tc>
          <w:tcPr>
            <w:tcW w:w="5183" w:type="dxa"/>
            <w:gridSpan w:val="9"/>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3117"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c>
          <w:tcPr>
            <w:tcW w:w="146" w:type="dxa"/>
            <w:tcBorders>
              <w:top w:val="nil"/>
              <w:left w:val="nil"/>
              <w:right w:val="nil"/>
            </w:tcBorders>
            <w:vAlign w:val="center"/>
          </w:tcPr>
          <w:p>
            <w:pPr>
              <w:ind w:left="150"/>
              <w:jc w:val="right"/>
              <w:rPr>
                <w:rFonts w:ascii="仿宋" w:hAnsi="仿宋" w:eastAsia="仿宋" w:cs="仿宋"/>
                <w:position w:val="8"/>
                <w:sz w:val="20"/>
              </w:rPr>
            </w:pPr>
          </w:p>
        </w:tc>
        <w:tc>
          <w:tcPr>
            <w:tcW w:w="473" w:type="dxa"/>
            <w:gridSpan w:val="2"/>
            <w:tcBorders>
              <w:top w:val="nil"/>
              <w:left w:val="nil"/>
              <w:right w:val="nil"/>
            </w:tcBorders>
            <w:vAlign w:val="center"/>
          </w:tcPr>
          <w:p>
            <w:pPr>
              <w:ind w:left="150"/>
              <w:jc w:val="right"/>
              <w:rPr>
                <w:rFonts w:ascii="仿宋" w:hAnsi="仿宋" w:eastAsia="仿宋" w:cs="仿宋"/>
                <w:position w:val="8"/>
                <w:sz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97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62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20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3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3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31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500" w:type="dxa"/>
            <w:vMerge w:val="restart"/>
            <w:tcBorders>
              <w:top w:val="single" w:color="auto" w:sz="0" w:space="0"/>
              <w:left w:val="single" w:color="auto" w:sz="0" w:space="0"/>
              <w:right w:val="single" w:color="auto" w:sz="0" w:space="0"/>
            </w:tcBorders>
            <w:vAlign w:val="center"/>
          </w:tcPr>
          <w:p>
            <w:r>
              <w:rPr>
                <w:rFonts w:ascii="黑体" w:hAnsi="黑体" w:eastAsia="黑体" w:cs="黑体"/>
                <w:position w:val="10"/>
                <w:sz w:val="20"/>
              </w:rPr>
              <w:t>财政拨款结转</w:t>
            </w:r>
          </w:p>
        </w:tc>
        <w:tc>
          <w:tcPr>
            <w:tcW w:w="439" w:type="dxa"/>
            <w:gridSpan w:val="2"/>
            <w:vMerge w:val="restart"/>
            <w:tcBorders>
              <w:top w:val="single" w:color="auto" w:sz="0" w:space="0"/>
              <w:left w:val="single" w:color="auto" w:sz="0" w:space="0"/>
              <w:right w:val="single" w:color="auto" w:sz="0" w:space="0"/>
            </w:tcBorders>
            <w:vAlign w:val="center"/>
          </w:tcPr>
          <w:p>
            <w:pPr>
              <w:bidi w:val="0"/>
              <w:jc w:val="left"/>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Height w:val="1895" w:hRule="atLeast"/>
        </w:trPr>
        <w:tc>
          <w:tcPr>
            <w:tcW w:w="4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135" w:type="dxa"/>
          </w:tcPr>
          <w:p/>
        </w:tc>
        <w:tc>
          <w:tcPr>
            <w:tcW w:w="623" w:type="dxa"/>
          </w:tcP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00" w:type="dxa"/>
            <w:vMerge w:val="continue"/>
            <w:tcBorders>
              <w:left w:val="single" w:color="auto" w:sz="0" w:space="0"/>
              <w:right w:val="single" w:color="auto" w:sz="0" w:space="0"/>
            </w:tcBorders>
          </w:tcPr>
          <w:p/>
        </w:tc>
        <w:tc>
          <w:tcPr>
            <w:tcW w:w="439" w:type="dxa"/>
            <w:gridSpan w:val="2"/>
            <w:vMerge w:val="continue"/>
            <w:tcBorders>
              <w:left w:val="single" w:color="auto" w:sz="0" w:space="0"/>
              <w:right w:val="single" w:color="auto" w:sz="0" w:space="0"/>
            </w:tcBorders>
          </w:tcPr>
          <w:p>
            <w:pPr>
              <w:bidi w:val="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154.53</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121.73</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32.80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144.53</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121.73</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22.80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25.8</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22.80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10.00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10.00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10.00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10.00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10.00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80" w:type="dxa"/>
        </w:trPr>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8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183.23</w:t>
            </w:r>
          </w:p>
        </w:tc>
        <w:tc>
          <w:tcPr>
            <w:tcW w:w="5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137.43</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42.80</w:t>
            </w:r>
          </w:p>
        </w:tc>
        <w:tc>
          <w:tcPr>
            <w:tcW w:w="4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r>
    </w:tbl>
    <w:p>
      <w:r>
        <w:br w:type="textWrapping"/>
      </w:r>
    </w:p>
    <w:p/>
    <w:p/>
    <w:p/>
    <w:tbl>
      <w:tblPr>
        <w:tblStyle w:val="6"/>
        <w:tblpPr w:leftFromText="180" w:rightFromText="180" w:vertAnchor="text" w:horzAnchor="page" w:tblpX="1846" w:tblpY="-33"/>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12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0" w:type="dxa"/>
            <w:gridSpan w:val="4"/>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36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200"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0" w:type="dxa"/>
            <w:vMerge w:val="restart"/>
            <w:tcBorders>
              <w:top w:val="single" w:color="auto" w:sz="0" w:space="0"/>
              <w:left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基本支出</w:t>
            </w:r>
          </w:p>
        </w:tc>
        <w:tc>
          <w:tcPr>
            <w:tcW w:w="1200"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66"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类</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款</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项</w:t>
            </w:r>
          </w:p>
        </w:tc>
        <w:tc>
          <w:tcPr>
            <w:tcW w:w="1200" w:type="dxa"/>
          </w:tcPr>
          <w:p/>
        </w:tc>
        <w:tc>
          <w:tcPr>
            <w:tcW w:w="1200" w:type="dxa"/>
            <w:vMerge w:val="continue"/>
            <w:tcBorders>
              <w:left w:val="single" w:color="auto" w:sz="0" w:space="0"/>
              <w:right w:val="single" w:color="auto" w:sz="0" w:space="0"/>
            </w:tcBorders>
          </w:tcPr>
          <w:p/>
        </w:tc>
        <w:tc>
          <w:tcPr>
            <w:tcW w:w="1200" w:type="dxa"/>
            <w:vMerge w:val="continue"/>
            <w:tcBorders>
              <w:left w:val="single" w:color="auto" w:sz="0" w:space="0"/>
              <w:right w:val="single" w:color="auto" w:sz="0" w:space="0"/>
            </w:tcBorders>
          </w:tcPr>
          <w:p/>
        </w:tc>
        <w:tc>
          <w:tcPr>
            <w:tcW w:w="1200" w:type="dxa"/>
            <w:vMerge w:val="continue"/>
            <w:tcBorders>
              <w:left w:val="single" w:color="auto" w:sz="0" w:space="0"/>
              <w:right w:val="single" w:color="auto" w:sz="0" w:space="0"/>
            </w:tcBorders>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154.53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35.8</w:t>
            </w:r>
            <w:r>
              <w:rPr>
                <w:rFonts w:hint="eastAsia" w:ascii="黑体" w:hAnsi="黑体" w:eastAsia="黑体" w:cs="黑体"/>
                <w:position w:val="8"/>
                <w:sz w:val="16"/>
                <w:lang w:val="en-US" w:eastAsia="zh-CN"/>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144.53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25.8</w:t>
            </w:r>
            <w:r>
              <w:rPr>
                <w:rFonts w:hint="eastAsia" w:ascii="黑体" w:hAnsi="黑体" w:eastAsia="黑体" w:cs="黑体"/>
                <w:position w:val="8"/>
                <w:sz w:val="16"/>
                <w:lang w:val="en-US" w:eastAsia="zh-CN"/>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25.8</w:t>
            </w:r>
            <w:r>
              <w:rPr>
                <w:rFonts w:hint="eastAsia" w:ascii="黑体" w:hAnsi="黑体" w:eastAsia="黑体" w:cs="黑体"/>
                <w:position w:val="8"/>
                <w:sz w:val="16"/>
                <w:lang w:val="en-US" w:eastAsia="zh-CN"/>
              </w:rPr>
              <w:t>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25.8</w:t>
            </w:r>
            <w:r>
              <w:rPr>
                <w:rFonts w:hint="eastAsia" w:ascii="黑体" w:hAnsi="黑体" w:eastAsia="黑体" w:cs="黑体"/>
                <w:position w:val="8"/>
                <w:sz w:val="16"/>
                <w:lang w:val="en-US" w:eastAsia="zh-CN"/>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183.23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137.43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45.8</w:t>
            </w:r>
            <w:r>
              <w:rPr>
                <w:rFonts w:hint="eastAsia" w:ascii="黑体" w:hAnsi="黑体" w:eastAsia="黑体" w:cs="黑体"/>
                <w:position w:val="8"/>
                <w:sz w:val="16"/>
                <w:lang w:val="en-US" w:eastAsia="zh-CN"/>
              </w:rPr>
              <w:t>0</w:t>
            </w:r>
          </w:p>
        </w:tc>
      </w:tr>
    </w:tbl>
    <w:p/>
    <w:p/>
    <w:p/>
    <w:p/>
    <w:p/>
    <w:p/>
    <w:p/>
    <w:p/>
    <w:p/>
    <w:p>
      <w:r>
        <w:br w:type="textWrapping"/>
      </w:r>
    </w:p>
    <w:p>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60"/>
        <w:gridCol w:w="587"/>
        <w:gridCol w:w="15"/>
        <w:gridCol w:w="2733"/>
        <w:gridCol w:w="733"/>
        <w:gridCol w:w="767"/>
        <w:gridCol w:w="767"/>
        <w:gridCol w:w="6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95" w:type="dxa"/>
            <w:gridSpan w:val="4"/>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2905"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7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653"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w:t>
            </w:r>
            <w:r>
              <w:rPr>
                <w:rFonts w:hint="eastAsia" w:ascii="黑体" w:hAnsi="黑体" w:eastAsia="黑体" w:cs="黑体"/>
                <w:position w:val="10"/>
                <w:sz w:val="20"/>
                <w:lang w:val="en-US" w:eastAsia="zh-CN"/>
              </w:rPr>
              <w:t xml:space="preserve">                                      </w:t>
            </w:r>
            <w:r>
              <w:rPr>
                <w:rFonts w:ascii="黑体" w:hAnsi="黑体" w:eastAsia="黑体" w:cs="黑体"/>
                <w:position w:val="10"/>
                <w:sz w:val="20"/>
              </w:rPr>
              <w:t>般公共预算</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121.73</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121.73</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18.7</w:t>
            </w:r>
            <w:r>
              <w:rPr>
                <w:rFonts w:hint="eastAsia" w:ascii="黑体" w:hAnsi="黑体" w:eastAsia="黑体" w:cs="黑体"/>
                <w:position w:val="8"/>
                <w:sz w:val="16"/>
                <w:lang w:val="en-US" w:eastAsia="zh-CN"/>
              </w:rPr>
              <w:t>0</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18.7</w:t>
            </w:r>
            <w:r>
              <w:rPr>
                <w:rFonts w:hint="eastAsia" w:ascii="黑体" w:hAnsi="黑体" w:eastAsia="黑体" w:cs="黑体"/>
                <w:position w:val="8"/>
                <w:sz w:val="16"/>
                <w:lang w:val="en-US" w:eastAsia="zh-CN"/>
              </w:rPr>
              <w:t>0</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2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tbl>
      <w:tblPr>
        <w:tblStyle w:val="6"/>
        <w:tblpPr w:leftFromText="180" w:rightFromText="180" w:vertAnchor="text" w:horzAnchor="page" w:tblpX="1863" w:tblpY="-63"/>
        <w:tblOverlap w:val="never"/>
        <w:tblW w:w="870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12"/>
        <w:gridCol w:w="914"/>
        <w:gridCol w:w="2713"/>
        <w:gridCol w:w="914"/>
        <w:gridCol w:w="914"/>
        <w:gridCol w:w="24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2" w:type="dxa"/>
            <w:tcBorders>
              <w:top w:val="nil"/>
              <w:left w:val="nil"/>
              <w:bottom w:val="nil"/>
              <w:right w:val="nil"/>
            </w:tcBorders>
            <w:vAlign w:val="center"/>
          </w:tcPr>
          <w:p>
            <w:pPr>
              <w:ind w:left="150"/>
              <w:jc w:val="left"/>
              <w:rPr>
                <w:rFonts w:ascii="仿宋" w:hAnsi="仿宋" w:eastAsia="仿宋" w:cs="仿宋"/>
                <w:position w:val="8"/>
                <w:sz w:val="20"/>
              </w:rPr>
            </w:pPr>
            <w:r>
              <w:rPr>
                <w:rFonts w:ascii="仿宋" w:hAnsi="仿宋" w:eastAsia="仿宋" w:cs="仿宋"/>
                <w:position w:val="8"/>
                <w:sz w:val="20"/>
              </w:rPr>
              <w:t>表5</w:t>
            </w:r>
          </w:p>
        </w:tc>
        <w:tc>
          <w:tcPr>
            <w:tcW w:w="914" w:type="dxa"/>
            <w:tcBorders>
              <w:top w:val="nil"/>
              <w:left w:val="nil"/>
              <w:bottom w:val="nil"/>
              <w:right w:val="nil"/>
            </w:tcBorders>
            <w:vAlign w:val="center"/>
          </w:tcPr>
          <w:p>
            <w:pPr>
              <w:ind w:left="150"/>
              <w:jc w:val="left"/>
              <w:rPr>
                <w:rFonts w:ascii="仿宋" w:hAnsi="仿宋" w:eastAsia="仿宋" w:cs="仿宋"/>
                <w:position w:val="8"/>
                <w:sz w:val="20"/>
              </w:rPr>
            </w:pPr>
          </w:p>
        </w:tc>
        <w:tc>
          <w:tcPr>
            <w:tcW w:w="6975" w:type="dxa"/>
            <w:gridSpan w:val="4"/>
            <w:tcBorders>
              <w:top w:val="nil"/>
              <w:left w:val="nil"/>
              <w:bottom w:val="nil"/>
              <w:right w:val="nil"/>
            </w:tcBorders>
            <w:vAlign w:val="center"/>
          </w:tcPr>
          <w:p>
            <w:pPr>
              <w:ind w:left="15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701"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39" w:type="dxa"/>
            <w:gridSpan w:val="3"/>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914" w:type="dxa"/>
            <w:tcBorders>
              <w:top w:val="nil"/>
              <w:left w:val="nil"/>
              <w:right w:val="nil"/>
            </w:tcBorders>
            <w:vAlign w:val="center"/>
          </w:tcPr>
          <w:p>
            <w:pPr>
              <w:ind w:left="150"/>
              <w:jc w:val="right"/>
              <w:rPr>
                <w:rFonts w:ascii="仿宋" w:hAnsi="仿宋" w:eastAsia="仿宋" w:cs="仿宋"/>
                <w:position w:val="8"/>
                <w:sz w:val="20"/>
              </w:rPr>
            </w:pPr>
          </w:p>
        </w:tc>
        <w:tc>
          <w:tcPr>
            <w:tcW w:w="914" w:type="dxa"/>
            <w:tcBorders>
              <w:top w:val="nil"/>
              <w:left w:val="nil"/>
              <w:right w:val="nil"/>
            </w:tcBorders>
            <w:vAlign w:val="center"/>
          </w:tcPr>
          <w:p>
            <w:pPr>
              <w:ind w:left="150"/>
              <w:jc w:val="right"/>
              <w:rPr>
                <w:rFonts w:ascii="仿宋" w:hAnsi="仿宋" w:eastAsia="仿宋" w:cs="仿宋"/>
                <w:position w:val="8"/>
                <w:sz w:val="20"/>
              </w:rPr>
            </w:pPr>
          </w:p>
        </w:tc>
        <w:tc>
          <w:tcPr>
            <w:tcW w:w="2434" w:type="dxa"/>
            <w:tcBorders>
              <w:top w:val="nil"/>
              <w:left w:val="nil"/>
              <w:right w:val="nil"/>
            </w:tcBorders>
            <w:vAlign w:val="center"/>
          </w:tcPr>
          <w:p>
            <w:pPr>
              <w:ind w:left="150"/>
              <w:jc w:val="right"/>
            </w:pPr>
            <w:r>
              <w:rPr>
                <w:rFonts w:ascii="仿宋" w:hAnsi="仿宋" w:eastAsia="仿宋" w:cs="仿宋"/>
                <w:position w:val="8"/>
                <w:sz w:val="20"/>
              </w:rPr>
              <w:t>单位:万元</w:t>
            </w:r>
          </w:p>
        </w:tc>
      </w:tr>
    </w:tbl>
    <w:tbl>
      <w:tblPr>
        <w:tblStyle w:val="6"/>
        <w:tblpPr w:leftFromText="180" w:rightFromText="180" w:vertAnchor="text" w:horzAnchor="page" w:tblpXSpec="center" w:tblpY="10"/>
        <w:tblOverlap w:val="never"/>
        <w:tblW w:w="8696" w:type="dxa"/>
        <w:jc w:val="center"/>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97"/>
        <w:gridCol w:w="997"/>
        <w:gridCol w:w="997"/>
        <w:gridCol w:w="1470"/>
        <w:gridCol w:w="1351"/>
        <w:gridCol w:w="1500"/>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82" w:hRule="atLeast"/>
          <w:jc w:val="center"/>
        </w:trPr>
        <w:tc>
          <w:tcPr>
            <w:tcW w:w="4461"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hint="eastAsia" w:ascii="黑体" w:hAnsi="黑体" w:eastAsia="黑体" w:cs="黑体"/>
                <w:position w:val="10"/>
                <w:sz w:val="20"/>
                <w:lang w:eastAsia="zh-CN"/>
              </w:rPr>
              <w:t>科目</w:t>
            </w:r>
          </w:p>
        </w:tc>
        <w:tc>
          <w:tcPr>
            <w:tcW w:w="4235"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33" w:hRule="atLeast"/>
          <w:jc w:val="center"/>
        </w:trPr>
        <w:tc>
          <w:tcPr>
            <w:tcW w:w="2991"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功能分类科目编码</w:t>
            </w:r>
          </w:p>
        </w:tc>
        <w:tc>
          <w:tcPr>
            <w:tcW w:w="1470" w:type="dxa"/>
            <w:vMerge w:val="restart"/>
            <w:tcBorders>
              <w:left w:val="single" w:color="auto" w:sz="0" w:space="0"/>
              <w:right w:val="single" w:color="auto" w:sz="0" w:space="0"/>
            </w:tcBorders>
            <w:vAlign w:val="center"/>
          </w:tcPr>
          <w:p>
            <w:pPr>
              <w:jc w:val="center"/>
            </w:pPr>
            <w:r>
              <w:rPr>
                <w:rFonts w:ascii="黑体" w:hAnsi="黑体" w:eastAsia="黑体" w:cs="黑体"/>
                <w:position w:val="10"/>
                <w:sz w:val="20"/>
              </w:rPr>
              <w:t>功能分类科目名称</w:t>
            </w:r>
          </w:p>
        </w:tc>
        <w:tc>
          <w:tcPr>
            <w:tcW w:w="1351" w:type="dxa"/>
            <w:vMerge w:val="restart"/>
            <w:tcBorders>
              <w:left w:val="single" w:color="auto" w:sz="0" w:space="0"/>
              <w:right w:val="single" w:color="auto" w:sz="0" w:space="0"/>
            </w:tcBorders>
            <w:vAlign w:val="center"/>
          </w:tcPr>
          <w:p>
            <w:pPr>
              <w:jc w:val="center"/>
            </w:pPr>
            <w:r>
              <w:rPr>
                <w:rFonts w:ascii="黑体" w:hAnsi="黑体" w:eastAsia="黑体" w:cs="黑体"/>
                <w:position w:val="10"/>
                <w:sz w:val="20"/>
              </w:rPr>
              <w:t>合   计</w:t>
            </w:r>
          </w:p>
        </w:tc>
        <w:tc>
          <w:tcPr>
            <w:tcW w:w="1500" w:type="dxa"/>
            <w:vMerge w:val="restart"/>
            <w:tcBorders>
              <w:left w:val="single" w:color="auto" w:sz="0" w:space="0"/>
              <w:right w:val="single" w:color="auto" w:sz="0" w:space="0"/>
            </w:tcBorders>
            <w:vAlign w:val="center"/>
          </w:tcPr>
          <w:p>
            <w:pPr>
              <w:jc w:val="center"/>
            </w:pPr>
            <w:r>
              <w:rPr>
                <w:rFonts w:ascii="黑体" w:hAnsi="黑体" w:eastAsia="黑体" w:cs="黑体"/>
                <w:position w:val="10"/>
                <w:sz w:val="20"/>
              </w:rPr>
              <w:t>基本支出</w:t>
            </w:r>
          </w:p>
        </w:tc>
        <w:tc>
          <w:tcPr>
            <w:tcW w:w="1384" w:type="dxa"/>
            <w:vMerge w:val="restart"/>
            <w:tcBorders>
              <w:left w:val="single" w:color="auto" w:sz="0" w:space="0"/>
              <w:right w:val="single" w:color="auto" w:sz="0" w:space="0"/>
            </w:tcBorders>
            <w:vAlign w:val="center"/>
          </w:tcPr>
          <w:p>
            <w:pPr>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33" w:hRule="atLeast"/>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470" w:type="dxa"/>
            <w:vMerge w:val="continue"/>
            <w:tcBorders>
              <w:left w:val="single" w:color="auto" w:sz="0" w:space="0"/>
              <w:right w:val="single" w:color="auto" w:sz="0" w:space="0"/>
            </w:tcBorders>
          </w:tcPr>
          <w:p/>
        </w:tc>
        <w:tc>
          <w:tcPr>
            <w:tcW w:w="1351" w:type="dxa"/>
            <w:vMerge w:val="continue"/>
            <w:tcBorders>
              <w:left w:val="single" w:color="auto" w:sz="0" w:space="0"/>
              <w:right w:val="single" w:color="auto" w:sz="0" w:space="0"/>
            </w:tcBorders>
          </w:tcPr>
          <w:p/>
        </w:tc>
        <w:tc>
          <w:tcPr>
            <w:tcW w:w="1500" w:type="dxa"/>
            <w:vMerge w:val="continue"/>
            <w:tcBorders>
              <w:left w:val="single" w:color="auto" w:sz="0" w:space="0"/>
              <w:right w:val="single" w:color="auto" w:sz="0" w:space="0"/>
            </w:tcBorders>
            <w:vAlign w:val="top"/>
          </w:tcPr>
          <w:p/>
        </w:tc>
        <w:tc>
          <w:tcPr>
            <w:tcW w:w="1384" w:type="dxa"/>
            <w:vMerge w:val="continue"/>
            <w:tcBorders>
              <w:left w:val="single" w:color="auto" w:sz="0" w:space="0"/>
              <w:right w:val="single" w:color="auto" w:sz="0" w:space="0"/>
            </w:tcBorders>
            <w:vAlign w:val="top"/>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80" w:hRule="atLeast"/>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一般公共服务支出</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121.73</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118.73</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12" w:hRule="atLeast"/>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群众团体事务</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121.73</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118.73</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79" w:hRule="atLeast"/>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行政运行</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118.73</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118.73</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其他群众团体事务支出</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社会保障和就业支出</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18.70</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行政事业单位养老支出</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18.70</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18.70</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机关事业单位基本养老保险缴费支出</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12.47</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机关事业单位职业年金缴费支出</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6.23</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jc w:val="center"/>
        </w:trPr>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70"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合  计</w:t>
            </w:r>
          </w:p>
        </w:tc>
        <w:tc>
          <w:tcPr>
            <w:tcW w:w="1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140.43</w:t>
            </w:r>
          </w:p>
        </w:tc>
        <w:tc>
          <w:tcPr>
            <w:tcW w:w="1500"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137.43</w:t>
            </w:r>
          </w:p>
        </w:tc>
        <w:tc>
          <w:tcPr>
            <w:tcW w:w="1384" w:type="dxa"/>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8"/>
                <w:sz w:val="16"/>
              </w:rPr>
              <w:t>3.00</w:t>
            </w:r>
          </w:p>
        </w:tc>
      </w:tr>
    </w:tbl>
    <w:p/>
    <w:p/>
    <w:p/>
    <w:p/>
    <w:p/>
    <w:p/>
    <w:p/>
    <w:p/>
    <w:p/>
    <w:p/>
    <w:p/>
    <w:p/>
    <w:p/>
    <w:p/>
    <w:p/>
    <w:p/>
    <w:p/>
    <w:p/>
    <w:p>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1400"/>
        <w:gridCol w:w="1563"/>
        <w:gridCol w:w="1237"/>
        <w:gridCol w:w="140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63" w:type="dxa"/>
            <w:gridSpan w:val="3"/>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403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03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563"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237"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400"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400"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563" w:type="dxa"/>
            <w:vMerge w:val="continue"/>
            <w:tcBorders>
              <w:left w:val="single" w:color="auto" w:sz="0" w:space="0"/>
              <w:right w:val="single" w:color="auto" w:sz="0" w:space="0"/>
            </w:tcBorders>
          </w:tcPr>
          <w:p/>
        </w:tc>
        <w:tc>
          <w:tcPr>
            <w:tcW w:w="1237" w:type="dxa"/>
            <w:vMerge w:val="continue"/>
            <w:tcBorders>
              <w:left w:val="single" w:color="auto" w:sz="0" w:space="0"/>
              <w:right w:val="single" w:color="auto" w:sz="0" w:space="0"/>
            </w:tcBorders>
          </w:tcPr>
          <w:p/>
        </w:tc>
        <w:tc>
          <w:tcPr>
            <w:tcW w:w="1400" w:type="dxa"/>
            <w:vMerge w:val="continue"/>
            <w:tcBorders>
              <w:left w:val="single" w:color="auto" w:sz="0" w:space="0"/>
              <w:right w:val="single" w:color="auto" w:sz="0" w:space="0"/>
            </w:tcBorders>
          </w:tcPr>
          <w:p/>
        </w:tc>
        <w:tc>
          <w:tcPr>
            <w:tcW w:w="1400" w:type="dxa"/>
            <w:vMerge w:val="continue"/>
            <w:tcBorders>
              <w:left w:val="single" w:color="auto" w:sz="0" w:space="0"/>
              <w:right w:val="single" w:color="auto" w:sz="0" w:space="0"/>
            </w:tcBorders>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125.86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125.86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28.83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28.83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44.44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44.44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9.3</w:t>
            </w:r>
            <w:r>
              <w:rPr>
                <w:rFonts w:hint="eastAsia" w:ascii="黑体" w:hAnsi="黑体" w:eastAsia="黑体" w:cs="黑体"/>
                <w:position w:val="8"/>
                <w:sz w:val="16"/>
                <w:lang w:val="en-US" w:eastAsia="zh-CN"/>
              </w:rPr>
              <w:t>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9.3</w:t>
            </w:r>
            <w:r>
              <w:rPr>
                <w:rFonts w:hint="eastAsia" w:ascii="黑体" w:hAnsi="黑体" w:eastAsia="黑体" w:cs="黑体"/>
                <w:position w:val="8"/>
                <w:sz w:val="16"/>
                <w:lang w:val="en-US" w:eastAsia="zh-CN"/>
              </w:rPr>
              <w:t>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4.63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4.63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12.47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5.07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5.07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5.3</w:t>
            </w:r>
            <w:r>
              <w:rPr>
                <w:rFonts w:hint="eastAsia" w:ascii="黑体" w:hAnsi="黑体" w:eastAsia="黑体" w:cs="黑体"/>
                <w:position w:val="8"/>
                <w:sz w:val="16"/>
                <w:lang w:val="en-US" w:eastAsia="zh-CN"/>
              </w:rPr>
              <w:t>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5.3</w:t>
            </w:r>
            <w:r>
              <w:rPr>
                <w:rFonts w:hint="eastAsia" w:ascii="黑体" w:hAnsi="黑体" w:eastAsia="黑体" w:cs="黑体"/>
                <w:position w:val="8"/>
                <w:sz w:val="16"/>
                <w:lang w:val="en-US" w:eastAsia="zh-CN"/>
              </w:rPr>
              <w:t>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0.24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0.24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9.35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9.35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5.72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2.8</w:t>
            </w:r>
            <w:r>
              <w:rPr>
                <w:rFonts w:hint="eastAsia" w:ascii="黑体" w:hAnsi="黑体" w:eastAsia="黑体" w:cs="黑体"/>
                <w:position w:val="8"/>
                <w:sz w:val="16"/>
                <w:lang w:val="en-US" w:eastAsia="zh-CN"/>
              </w:rPr>
              <w:t>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黑体"/>
                <w:lang w:val="en-US" w:eastAsia="zh-CN"/>
              </w:rPr>
            </w:pPr>
            <w:r>
              <w:rPr>
                <w:rFonts w:ascii="黑体" w:hAnsi="黑体" w:eastAsia="黑体" w:cs="黑体"/>
                <w:position w:val="8"/>
                <w:sz w:val="16"/>
              </w:rPr>
              <w:t>2.8</w:t>
            </w:r>
            <w:r>
              <w:rPr>
                <w:rFonts w:hint="eastAsia" w:ascii="黑体" w:hAnsi="黑体" w:eastAsia="黑体" w:cs="黑体"/>
                <w:position w:val="8"/>
                <w:sz w:val="16"/>
                <w:lang w:val="en-US" w:eastAsia="zh-CN"/>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0.92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0.92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2.00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137.43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131.71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5.72</w:t>
            </w:r>
          </w:p>
        </w:tc>
      </w:tr>
    </w:tbl>
    <w:p>
      <w:r>
        <w:br w:type="textWrapping"/>
      </w:r>
    </w:p>
    <w:p/>
    <w:p/>
    <w:p/>
    <w:p/>
    <w:p/>
    <w:p/>
    <w:p/>
    <w:p/>
    <w:p/>
    <w:p/>
    <w:p/>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765"/>
        <w:gridCol w:w="439"/>
        <w:gridCol w:w="567"/>
        <w:gridCol w:w="500"/>
        <w:gridCol w:w="567"/>
        <w:gridCol w:w="500"/>
        <w:gridCol w:w="483"/>
        <w:gridCol w:w="483"/>
        <w:gridCol w:w="534"/>
        <w:gridCol w:w="533"/>
        <w:gridCol w:w="517"/>
        <w:gridCol w:w="500"/>
        <w:gridCol w:w="43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13" w:type="dxa"/>
            <w:gridSpan w:val="8"/>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3987"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7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765"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439"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567"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500"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67"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500"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83" w:type="dxa"/>
            <w:vMerge w:val="restart"/>
            <w:tcBorders>
              <w:top w:val="single" w:color="auto" w:sz="0" w:space="0"/>
              <w:left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债务利息及费用支出</w:t>
            </w:r>
          </w:p>
        </w:tc>
        <w:tc>
          <w:tcPr>
            <w:tcW w:w="483"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534"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533"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517"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500"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437" w:type="dxa"/>
            <w:vMerge w:val="restart"/>
            <w:tcBorders>
              <w:top w:val="single" w:color="auto" w:sz="0" w:space="0"/>
              <w:left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99"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65" w:type="dxa"/>
            <w:vMerge w:val="continue"/>
            <w:tcBorders>
              <w:left w:val="single" w:color="auto" w:sz="0" w:space="0"/>
              <w:right w:val="single" w:color="auto" w:sz="0" w:space="0"/>
            </w:tcBorders>
          </w:tcPr>
          <w:p/>
        </w:tc>
        <w:tc>
          <w:tcPr>
            <w:tcW w:w="439" w:type="dxa"/>
            <w:vMerge w:val="continue"/>
            <w:tcBorders>
              <w:left w:val="single" w:color="auto" w:sz="0" w:space="0"/>
              <w:right w:val="single" w:color="auto" w:sz="0" w:space="0"/>
            </w:tcBorders>
          </w:tcPr>
          <w:p/>
        </w:tc>
        <w:tc>
          <w:tcPr>
            <w:tcW w:w="567" w:type="dxa"/>
            <w:vMerge w:val="continue"/>
            <w:tcBorders>
              <w:left w:val="single" w:color="auto" w:sz="0" w:space="0"/>
              <w:right w:val="single" w:color="auto" w:sz="0" w:space="0"/>
            </w:tcBorders>
          </w:tcPr>
          <w:p/>
        </w:tc>
        <w:tc>
          <w:tcPr>
            <w:tcW w:w="500" w:type="dxa"/>
            <w:vMerge w:val="continue"/>
            <w:tcBorders>
              <w:left w:val="single" w:color="auto" w:sz="0" w:space="0"/>
              <w:right w:val="single" w:color="auto" w:sz="0" w:space="0"/>
            </w:tcBorders>
          </w:tcPr>
          <w:p/>
        </w:tc>
        <w:tc>
          <w:tcPr>
            <w:tcW w:w="567" w:type="dxa"/>
            <w:vMerge w:val="continue"/>
            <w:tcBorders>
              <w:left w:val="single" w:color="auto" w:sz="0" w:space="0"/>
              <w:right w:val="single" w:color="auto" w:sz="0" w:space="0"/>
            </w:tcBorders>
          </w:tcPr>
          <w:p/>
        </w:tc>
        <w:tc>
          <w:tcPr>
            <w:tcW w:w="500" w:type="dxa"/>
            <w:vMerge w:val="continue"/>
            <w:tcBorders>
              <w:left w:val="single" w:color="auto" w:sz="0" w:space="0"/>
              <w:right w:val="single" w:color="auto" w:sz="0" w:space="0"/>
            </w:tcBorders>
          </w:tcPr>
          <w:p/>
        </w:tc>
        <w:tc>
          <w:tcPr>
            <w:tcW w:w="483" w:type="dxa"/>
            <w:vMerge w:val="continue"/>
            <w:tcBorders>
              <w:left w:val="single" w:color="auto" w:sz="0" w:space="0"/>
              <w:right w:val="single" w:color="auto" w:sz="0" w:space="0"/>
            </w:tcBorders>
          </w:tcPr>
          <w:p/>
        </w:tc>
        <w:tc>
          <w:tcPr>
            <w:tcW w:w="483" w:type="dxa"/>
            <w:vMerge w:val="continue"/>
            <w:tcBorders>
              <w:left w:val="single" w:color="auto" w:sz="0" w:space="0"/>
              <w:right w:val="single" w:color="auto" w:sz="0" w:space="0"/>
            </w:tcBorders>
          </w:tcPr>
          <w:p/>
        </w:tc>
        <w:tc>
          <w:tcPr>
            <w:tcW w:w="534" w:type="dxa"/>
            <w:vMerge w:val="continue"/>
            <w:tcBorders>
              <w:left w:val="single" w:color="auto" w:sz="0" w:space="0"/>
              <w:right w:val="single" w:color="auto" w:sz="0" w:space="0"/>
            </w:tcBorders>
          </w:tcPr>
          <w:p/>
        </w:tc>
        <w:tc>
          <w:tcPr>
            <w:tcW w:w="533" w:type="dxa"/>
            <w:vMerge w:val="continue"/>
            <w:tcBorders>
              <w:left w:val="single" w:color="auto" w:sz="0" w:space="0"/>
              <w:right w:val="single" w:color="auto" w:sz="0" w:space="0"/>
            </w:tcBorders>
          </w:tcPr>
          <w:p/>
        </w:tc>
        <w:tc>
          <w:tcPr>
            <w:tcW w:w="517" w:type="dxa"/>
            <w:vMerge w:val="continue"/>
            <w:tcBorders>
              <w:left w:val="single" w:color="auto" w:sz="0" w:space="0"/>
              <w:right w:val="single" w:color="auto" w:sz="0" w:space="0"/>
            </w:tcBorders>
          </w:tcPr>
          <w:p/>
        </w:tc>
        <w:tc>
          <w:tcPr>
            <w:tcW w:w="500" w:type="dxa"/>
            <w:vMerge w:val="continue"/>
            <w:tcBorders>
              <w:left w:val="single" w:color="auto" w:sz="0" w:space="0"/>
              <w:right w:val="single" w:color="auto" w:sz="0" w:space="0"/>
            </w:tcBorders>
          </w:tcPr>
          <w:p/>
        </w:tc>
        <w:tc>
          <w:tcPr>
            <w:tcW w:w="437" w:type="dxa"/>
            <w:vMerge w:val="continue"/>
            <w:tcBorders>
              <w:left w:val="single" w:color="auto" w:sz="0" w:space="0"/>
              <w:right w:val="single" w:color="auto" w:sz="0" w:space="0"/>
            </w:tcBorders>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妇联2023年妇女儿童工作经费预算通知-和地财行</w:t>
            </w:r>
            <w:r>
              <w:rPr>
                <w:rFonts w:hint="eastAsia" w:ascii="仿宋" w:hAnsi="仿宋" w:eastAsia="仿宋" w:cs="仿宋"/>
                <w:position w:val="8"/>
                <w:sz w:val="20"/>
                <w:lang w:val="en-US" w:eastAsia="zh-CN"/>
              </w:rPr>
              <w:t>〔</w:t>
            </w:r>
            <w:r>
              <w:rPr>
                <w:rFonts w:ascii="仿宋" w:hAnsi="仿宋" w:eastAsia="仿宋" w:cs="仿宋"/>
                <w:position w:val="8"/>
                <w:sz w:val="20"/>
              </w:rPr>
              <w:t>2022</w:t>
            </w:r>
            <w:r>
              <w:rPr>
                <w:rFonts w:hint="eastAsia" w:ascii="仿宋" w:hAnsi="仿宋" w:eastAsia="仿宋" w:cs="仿宋"/>
                <w:position w:val="8"/>
                <w:sz w:val="20"/>
                <w:lang w:val="en-US" w:eastAsia="zh-CN"/>
              </w:rPr>
              <w:t>〕</w:t>
            </w:r>
            <w:r>
              <w:rPr>
                <w:rFonts w:ascii="仿宋" w:hAnsi="仿宋" w:eastAsia="仿宋" w:cs="仿宋"/>
                <w:position w:val="8"/>
                <w:sz w:val="20"/>
              </w:rPr>
              <w:t>53号</w:t>
            </w: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3.00</w:t>
            </w: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12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0" w:type="dxa"/>
            <w:gridSpan w:val="4"/>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36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vMerge w:val="continue"/>
          </w:tcPr>
          <w:p/>
        </w:tc>
        <w:tc>
          <w:tcPr>
            <w:tcW w:w="1200" w:type="dxa"/>
            <w:vMerge w:val="continue"/>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新疆维吾尔自治区皮山县妇女联合会2023年没有使用政府性基金预算拨款安排的支出，政府性基金预算支出情况表为空表。</w:t>
            </w:r>
          </w:p>
        </w:tc>
      </w:tr>
    </w:tbl>
    <w:p/>
    <w:p/>
    <w:p/>
    <w:p/>
    <w:p/>
    <w:p/>
    <w:p/>
    <w:p/>
    <w:p>
      <w:r>
        <w:br w:type="page"/>
      </w:r>
    </w:p>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979"/>
        <w:gridCol w:w="221"/>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79" w:type="dxa"/>
            <w:gridSpan w:val="4"/>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3821"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功能分类科目名称</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vMerge w:val="continue"/>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gridSpan w:val="2"/>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gridSpan w:val="2"/>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gridSpan w:val="2"/>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gridSpan w:val="2"/>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tcPr>
          <w:p/>
        </w:tc>
        <w:tc>
          <w:tcPr>
            <w:tcW w:w="1200" w:type="dxa"/>
          </w:tcPr>
          <w:p/>
        </w:tc>
        <w:tc>
          <w:tcPr>
            <w:tcW w:w="1200" w:type="dxa"/>
            <w:gridSpan w:val="2"/>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新疆维吾尔自治区皮山县妇女联合会2023年没有安排国有资本经营预算的支出，国有资本经营预算支出情况表为空表。</w:t>
            </w:r>
          </w:p>
        </w:tc>
      </w:tr>
    </w:tbl>
    <w:p/>
    <w:p/>
    <w:p/>
    <w:p/>
    <w:p/>
    <w:p>
      <w:r>
        <w:br w:type="page"/>
      </w:r>
    </w:p>
    <w:p/>
    <w:tbl>
      <w:tblPr>
        <w:tblStyle w:val="6"/>
        <w:tblW w:w="8915"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412"/>
        <w:gridCol w:w="1150"/>
        <w:gridCol w:w="1783"/>
        <w:gridCol w:w="1750"/>
        <w:gridCol w:w="182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915"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915"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46" w:hRule="atLeast"/>
        </w:trPr>
        <w:tc>
          <w:tcPr>
            <w:tcW w:w="5345" w:type="dxa"/>
            <w:gridSpan w:val="3"/>
            <w:tcBorders>
              <w:top w:val="nil"/>
              <w:left w:val="nil"/>
              <w:right w:val="nil"/>
            </w:tcBorders>
            <w:vAlign w:val="center"/>
          </w:tcPr>
          <w:p>
            <w:pPr>
              <w:ind w:left="150"/>
              <w:jc w:val="left"/>
            </w:pPr>
            <w:r>
              <w:rPr>
                <w:rFonts w:ascii="仿宋" w:hAnsi="仿宋" w:eastAsia="仿宋" w:cs="仿宋"/>
                <w:position w:val="8"/>
                <w:sz w:val="20"/>
              </w:rPr>
              <w:t>编制单位：新疆维吾尔自治区皮山县妇女联合会</w:t>
            </w:r>
          </w:p>
        </w:tc>
        <w:tc>
          <w:tcPr>
            <w:tcW w:w="357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716" w:hRule="atLeast"/>
        </w:trPr>
        <w:tc>
          <w:tcPr>
            <w:tcW w:w="2412" w:type="dxa"/>
            <w:vMerge w:val="restart"/>
            <w:tcBorders>
              <w:top w:val="single" w:color="auto" w:sz="0" w:space="0"/>
              <w:left w:val="single" w:color="auto" w:sz="0" w:space="0"/>
              <w:right w:val="single" w:color="auto" w:sz="0" w:space="0"/>
            </w:tcBorders>
            <w:vAlign w:val="center"/>
          </w:tcPr>
          <w:p>
            <w:pPr>
              <w:ind w:left="30"/>
              <w:jc w:val="center"/>
              <w:rPr>
                <w:rFonts w:ascii="黑体" w:hAnsi="黑体" w:eastAsia="黑体" w:cs="黑体"/>
                <w:position w:val="10"/>
                <w:sz w:val="20"/>
              </w:rPr>
            </w:pPr>
            <w:r>
              <w:rPr>
                <w:rFonts w:hint="eastAsia" w:ascii="黑体" w:hAnsi="黑体" w:eastAsia="黑体" w:cs="黑体"/>
                <w:position w:val="10"/>
                <w:sz w:val="20"/>
                <w:lang w:eastAsia="zh-CN"/>
              </w:rPr>
              <w:t>“三公”经费</w:t>
            </w:r>
            <w:r>
              <w:rPr>
                <w:rFonts w:ascii="黑体" w:hAnsi="黑体" w:eastAsia="黑体" w:cs="黑体"/>
                <w:position w:val="10"/>
                <w:sz w:val="20"/>
              </w:rPr>
              <w:t>支出内容</w:t>
            </w:r>
          </w:p>
        </w:tc>
        <w:tc>
          <w:tcPr>
            <w:tcW w:w="1150" w:type="dxa"/>
            <w:vMerge w:val="restart"/>
            <w:tcBorders>
              <w:top w:val="single" w:color="auto" w:sz="0" w:space="0"/>
              <w:left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合计</w:t>
            </w:r>
          </w:p>
        </w:tc>
        <w:tc>
          <w:tcPr>
            <w:tcW w:w="535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732" w:hRule="atLeast"/>
        </w:trPr>
        <w:tc>
          <w:tcPr>
            <w:tcW w:w="2412" w:type="dxa"/>
            <w:vMerge w:val="continue"/>
            <w:tcBorders>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p>
        </w:tc>
        <w:tc>
          <w:tcPr>
            <w:tcW w:w="1150" w:type="dxa"/>
            <w:vMerge w:val="continue"/>
            <w:tcBorders>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p>
        </w:tc>
        <w:tc>
          <w:tcPr>
            <w:tcW w:w="1783" w:type="dxa"/>
            <w:tcBorders>
              <w:top w:val="single" w:color="auto" w:sz="0" w:space="0"/>
              <w:left w:val="single" w:color="auto" w:sz="0" w:space="0"/>
              <w:bottom w:val="single" w:color="auto" w:sz="0" w:space="0"/>
              <w:right w:val="single" w:color="auto" w:sz="0" w:space="0"/>
            </w:tcBorders>
            <w:vAlign w:val="center"/>
          </w:tcPr>
          <w:p>
            <w:pPr>
              <w:ind w:left="30" w:leftChars="0"/>
              <w:jc w:val="center"/>
              <w:rPr>
                <w:rFonts w:ascii="黑体" w:hAnsi="黑体" w:eastAsia="黑体" w:cs="黑体"/>
                <w:position w:val="10"/>
                <w:sz w:val="20"/>
              </w:rPr>
            </w:pPr>
            <w:r>
              <w:rPr>
                <w:rFonts w:ascii="黑体" w:hAnsi="黑体" w:eastAsia="黑体" w:cs="黑体"/>
                <w:position w:val="10"/>
                <w:sz w:val="20"/>
              </w:rPr>
              <w:t>一般公共预算</w:t>
            </w:r>
          </w:p>
        </w:tc>
        <w:tc>
          <w:tcPr>
            <w:tcW w:w="1750" w:type="dxa"/>
            <w:tcBorders>
              <w:top w:val="single" w:color="auto" w:sz="0" w:space="0"/>
              <w:left w:val="single" w:color="auto" w:sz="0" w:space="0"/>
              <w:bottom w:val="single" w:color="auto" w:sz="0" w:space="0"/>
              <w:right w:val="single" w:color="auto" w:sz="0" w:space="0"/>
            </w:tcBorders>
            <w:vAlign w:val="center"/>
          </w:tcPr>
          <w:p>
            <w:pPr>
              <w:ind w:left="30" w:leftChars="0"/>
              <w:jc w:val="center"/>
              <w:rPr>
                <w:rFonts w:ascii="黑体" w:hAnsi="黑体" w:eastAsia="黑体" w:cs="黑体"/>
                <w:position w:val="10"/>
                <w:sz w:val="20"/>
              </w:rPr>
            </w:pPr>
            <w:r>
              <w:rPr>
                <w:rFonts w:ascii="黑体" w:hAnsi="黑体" w:eastAsia="黑体" w:cs="黑体"/>
                <w:position w:val="10"/>
                <w:sz w:val="20"/>
              </w:rPr>
              <w:t>政府性基金</w:t>
            </w:r>
          </w:p>
        </w:tc>
        <w:tc>
          <w:tcPr>
            <w:tcW w:w="1820" w:type="dxa"/>
            <w:tcBorders>
              <w:top w:val="single" w:color="auto" w:sz="0" w:space="0"/>
              <w:left w:val="single" w:color="auto" w:sz="0" w:space="0"/>
              <w:bottom w:val="single" w:color="auto" w:sz="0" w:space="0"/>
              <w:right w:val="single" w:color="auto" w:sz="0" w:space="0"/>
            </w:tcBorders>
            <w:vAlign w:val="center"/>
          </w:tcPr>
          <w:p>
            <w:pPr>
              <w:ind w:left="30" w:leftChars="0"/>
              <w:jc w:val="center"/>
              <w:rPr>
                <w:rFonts w:ascii="黑体" w:hAnsi="黑体" w:eastAsia="黑体" w:cs="黑体"/>
                <w:position w:val="10"/>
                <w:sz w:val="20"/>
              </w:rP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12" w:hRule="atLeast"/>
        </w:trPr>
        <w:tc>
          <w:tcPr>
            <w:tcW w:w="2412" w:type="dxa"/>
            <w:tcBorders>
              <w:top w:val="single" w:color="auto" w:sz="0" w:space="0"/>
              <w:left w:val="single" w:color="auto" w:sz="0" w:space="0"/>
              <w:bottom w:val="single" w:color="auto" w:sz="0" w:space="0"/>
              <w:right w:val="single" w:color="auto" w:sz="0" w:space="0"/>
            </w:tcBorders>
            <w:vAlign w:val="center"/>
          </w:tcPr>
          <w:p>
            <w:pPr>
              <w:wordWrap/>
              <w:ind w:left="30"/>
              <w:jc w:val="center"/>
              <w:rPr>
                <w:rFonts w:hint="eastAsia" w:ascii="黑体" w:hAnsi="黑体" w:eastAsia="仿宋" w:cs="黑体"/>
                <w:position w:val="8"/>
                <w:sz w:val="16"/>
                <w:lang w:val="en-US" w:eastAsia="zh-CN"/>
              </w:rPr>
            </w:pPr>
            <w:r>
              <w:rPr>
                <w:rFonts w:ascii="仿宋" w:hAnsi="仿宋" w:eastAsia="仿宋" w:cs="仿宋"/>
                <w:position w:val="8"/>
                <w:sz w:val="20"/>
              </w:rPr>
              <w:t>合计</w:t>
            </w:r>
          </w:p>
        </w:tc>
        <w:tc>
          <w:tcPr>
            <w:tcW w:w="115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r>
              <w:rPr>
                <w:rFonts w:ascii="黑体" w:hAnsi="黑体" w:eastAsia="黑体" w:cs="黑体"/>
                <w:position w:val="8"/>
                <w:sz w:val="16"/>
              </w:rPr>
              <w:t>2.0</w:t>
            </w:r>
          </w:p>
        </w:tc>
        <w:tc>
          <w:tcPr>
            <w:tcW w:w="17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2.00</w:t>
            </w:r>
          </w:p>
        </w:tc>
        <w:tc>
          <w:tcPr>
            <w:tcW w:w="17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2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46" w:hRule="atLeast"/>
        </w:trPr>
        <w:tc>
          <w:tcPr>
            <w:tcW w:w="2412"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因公出国(境)费用</w:t>
            </w:r>
          </w:p>
        </w:tc>
        <w:tc>
          <w:tcPr>
            <w:tcW w:w="115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178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96" w:hRule="atLeast"/>
        </w:trPr>
        <w:tc>
          <w:tcPr>
            <w:tcW w:w="2412" w:type="dxa"/>
            <w:tcBorders>
              <w:top w:val="single" w:color="auto" w:sz="0" w:space="0"/>
              <w:left w:val="single" w:color="auto" w:sz="0" w:space="0"/>
              <w:bottom w:val="single" w:color="auto" w:sz="0" w:space="0"/>
              <w:right w:val="single" w:color="auto" w:sz="0" w:space="0"/>
            </w:tcBorders>
            <w:vAlign w:val="center"/>
          </w:tcPr>
          <w:p>
            <w:pPr>
              <w:jc w:val="left"/>
              <w:rPr>
                <w:rFonts w:ascii="黑体" w:hAnsi="黑体" w:eastAsia="黑体" w:cs="黑体"/>
                <w:position w:val="8"/>
                <w:sz w:val="16"/>
              </w:rPr>
            </w:pPr>
            <w:r>
              <w:rPr>
                <w:rFonts w:ascii="仿宋" w:hAnsi="仿宋" w:eastAsia="仿宋" w:cs="仿宋"/>
                <w:position w:val="8"/>
                <w:sz w:val="20"/>
              </w:rPr>
              <w:t>公务接待费</w:t>
            </w:r>
          </w:p>
        </w:tc>
        <w:tc>
          <w:tcPr>
            <w:tcW w:w="115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178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61" w:hRule="atLeast"/>
        </w:trPr>
        <w:tc>
          <w:tcPr>
            <w:tcW w:w="2412" w:type="dxa"/>
            <w:tcBorders>
              <w:top w:val="single" w:color="auto" w:sz="0" w:space="0"/>
              <w:left w:val="single" w:color="auto" w:sz="0" w:space="0"/>
              <w:bottom w:val="single" w:color="auto" w:sz="0" w:space="0"/>
              <w:right w:val="single" w:color="auto" w:sz="0" w:space="0"/>
            </w:tcBorders>
            <w:vAlign w:val="center"/>
          </w:tcPr>
          <w:p>
            <w:pPr>
              <w:ind w:left="30" w:leftChars="0"/>
              <w:jc w:val="left"/>
              <w:rPr>
                <w:rFonts w:ascii="黑体" w:hAnsi="黑体" w:eastAsia="黑体" w:cs="黑体"/>
                <w:position w:val="8"/>
                <w:sz w:val="16"/>
              </w:rPr>
            </w:pPr>
            <w:r>
              <w:rPr>
                <w:rFonts w:ascii="仿宋" w:hAnsi="仿宋" w:eastAsia="仿宋" w:cs="仿宋"/>
                <w:position w:val="8"/>
                <w:sz w:val="20"/>
              </w:rPr>
              <w:t>公务用车购置及运行费（小计）</w:t>
            </w:r>
          </w:p>
        </w:tc>
        <w:tc>
          <w:tcPr>
            <w:tcW w:w="115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r>
              <w:rPr>
                <w:rFonts w:ascii="黑体" w:hAnsi="黑体" w:eastAsia="黑体" w:cs="黑体"/>
                <w:position w:val="8"/>
                <w:sz w:val="16"/>
              </w:rPr>
              <w:t>2.00</w:t>
            </w:r>
          </w:p>
        </w:tc>
        <w:tc>
          <w:tcPr>
            <w:tcW w:w="17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2.00</w:t>
            </w:r>
          </w:p>
        </w:tc>
        <w:tc>
          <w:tcPr>
            <w:tcW w:w="17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2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78" w:hRule="atLeast"/>
        </w:trPr>
        <w:tc>
          <w:tcPr>
            <w:tcW w:w="2412" w:type="dxa"/>
            <w:tcBorders>
              <w:top w:val="single" w:color="auto" w:sz="0" w:space="0"/>
              <w:left w:val="single" w:color="auto" w:sz="0" w:space="0"/>
              <w:bottom w:val="single" w:color="auto" w:sz="0" w:space="0"/>
              <w:right w:val="single" w:color="auto" w:sz="0" w:space="0"/>
            </w:tcBorders>
            <w:vAlign w:val="center"/>
          </w:tcPr>
          <w:p>
            <w:pPr>
              <w:jc w:val="left"/>
              <w:rPr>
                <w:rFonts w:ascii="黑体" w:hAnsi="黑体" w:eastAsia="黑体" w:cs="黑体"/>
                <w:position w:val="8"/>
                <w:sz w:val="16"/>
              </w:rPr>
            </w:pPr>
            <w:r>
              <w:rPr>
                <w:rFonts w:ascii="仿宋" w:hAnsi="仿宋" w:eastAsia="仿宋" w:cs="仿宋"/>
                <w:position w:val="8"/>
                <w:sz w:val="20"/>
              </w:rPr>
              <w:t>其中：公务用车购置费</w:t>
            </w:r>
          </w:p>
        </w:tc>
        <w:tc>
          <w:tcPr>
            <w:tcW w:w="115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178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22" w:hRule="atLeast"/>
        </w:trPr>
        <w:tc>
          <w:tcPr>
            <w:tcW w:w="2412" w:type="dxa"/>
            <w:tcBorders>
              <w:top w:val="single" w:color="auto" w:sz="0" w:space="0"/>
              <w:left w:val="single" w:color="auto" w:sz="0" w:space="0"/>
              <w:bottom w:val="single" w:color="auto" w:sz="0" w:space="0"/>
              <w:right w:val="single" w:color="auto" w:sz="0" w:space="0"/>
            </w:tcBorders>
            <w:vAlign w:val="center"/>
          </w:tcPr>
          <w:p>
            <w:pPr>
              <w:jc w:val="left"/>
              <w:rPr>
                <w:rFonts w:ascii="黑体" w:hAnsi="黑体" w:eastAsia="黑体" w:cs="黑体"/>
                <w:position w:val="8"/>
                <w:sz w:val="16"/>
              </w:rPr>
            </w:pPr>
            <w:r>
              <w:rPr>
                <w:rFonts w:ascii="仿宋" w:hAnsi="仿宋" w:eastAsia="仿宋" w:cs="仿宋"/>
                <w:position w:val="8"/>
                <w:sz w:val="20"/>
              </w:rPr>
              <w:t>公务用车运行费</w:t>
            </w:r>
          </w:p>
        </w:tc>
        <w:tc>
          <w:tcPr>
            <w:tcW w:w="1150"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8"/>
                <w:sz w:val="16"/>
              </w:rPr>
            </w:pPr>
          </w:p>
        </w:tc>
        <w:tc>
          <w:tcPr>
            <w:tcW w:w="17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2.00</w:t>
            </w:r>
          </w:p>
        </w:tc>
        <w:tc>
          <w:tcPr>
            <w:tcW w:w="17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2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sz w:val="32"/>
          <w:szCs w:val="32"/>
        </w:rPr>
      </w:pPr>
      <w:r>
        <w:rPr>
          <w:rFonts w:ascii="黑体" w:hAnsi="黑体" w:eastAsia="黑体" w:cs="黑体"/>
          <w:position w:val="30"/>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一、关于新疆维吾尔自治区皮山县妇女联合会2023年收支预算情况的总体说明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按照全口径预算的原则，新疆维吾尔自治区皮山县妇女联合会2023年所有收入和支出均纳入单位预算管理。收支总预算183.23万元。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二、关于新疆维吾尔自治区皮山县妇女联合会2023年收入预算情况说明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新疆维吾尔自治区皮山县妇女联合会收入预算183.23万元，其中：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137.43万元，占75.00%，比上年预算减少41.93万元，下降23.38%，主要原因是增加一名普通干部，减少一名领导干部，工资福利有差额，今年以收定支平衡预算，未将去年心理健康发展中心15万元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上级一般公共预算安排的转移支付资金3万元，占1.64%，比上年预算减少12万元，下降80%，主要原因是减少心理健康发展中心妇女儿童工作项目15万元，新增妇女儿童工作经费3万元。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财政拨款结转42.8</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万元，占23.36%，比上年预算增加42.80万元，增长100.00%，主要原因是2022年做预算时未将上年结转数纳入年初预算，2023年做平衡预算将2022年财政拨款结转42.8</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万元纳入预算。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三、关于新疆维吾尔自治区皮山县妇女联合会2023年支出预算情况说明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新疆维吾尔自治区皮山县妇女联合会2023年支出预算183.23万元，其中：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基本支出137.43万元，占75.00%，比上年预算减少41.93万元，下降23.38%，主要原因是增加一名普通干部，减少一名领导干部，工资福利有差额，今年以收定支平衡预算，未将县级支付的特定类项目纳入年初预算。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项目支出45.8</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万元，占25.00%，比上年预算增加30.80万元，增长205.33%，主要原因是上年结转项目42.8</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万元，今年新增妇女儿童工作经费3万元。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四、关于新疆维吾尔自治区皮山县妇女联合会2023年财政拨款收支预算情况的总体说明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2023年财政拨款收支总预算140.43万元。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收入预算包括：一般公共预算拨款140.43万元。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一般公共预算支出包括：一般公共服务支出121.73万元，主要用于机关运行的公共经费、项目经费和人员保障经费。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社会保障和就业支出18.7</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万元，主要用于单位为职工缴纳基本养老保险保险费。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五、关于新疆维吾尔自治区皮山县妇女联合会2023年一般公共预算当年拨款情况说明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新疆维吾尔自治区皮山县妇女联合会2023年一般公共预算拨款合计140.43万元，其中：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基本支出137.43万元，比上年预算减少26.93万元，下降16.38%。主要原因是：增加了一名普通干部，减少了一名领导干部，工资福利有差额。</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项目支出3万元，比上年预算减少12万元，下降80%。主要原因是：减少心理健康发展中心妇女儿童工作项目15万元，新增妇女儿童工作经费3万元。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1.一般公共服务支出（类）121.73万元，占86.68%。</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2.社会保障和就业支出（类）18.70万元，占13.32%。</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1.一般公共服务支出（类）群众团体事务（款）行政运行（项）:2023年预算数为118.73万元，比上年预算数减少22.52万元，下降15.94%，主要原因是：增加一名普通干部，减少一名领导干部，相关支出有差额。</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一般公共服务支出（类）群众团体事务（款）其他群众团体事务支出（项）:2023年预算数为3万元，比上年预算数减少12万元，下降80%，主要原因是：减少心理健康发展中心妇女儿童工作项目15万元，新增妇女儿童工作经费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基本养老保险缴费支出（项）:2023年预算数为12.47万元，比上年预算数减少2.94万元，下降19.08%，主要原因是：增加了一名普通干部，减少了一名领导干部，导致养老金有所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社会保障和就业支出（类）行政事业单位养老支出（款）机关事业单位职业年金缴费支出（项）:2023年预算数为6.23万元，比上年预算数减少1.47万元，下降19.09%，主要原因是：增加了一名普通干部，减少了一名领导干部，导致职业年金有所减少。</w:t>
      </w:r>
    </w:p>
    <w:p>
      <w:pPr>
        <w:keepNext w:val="0"/>
        <w:keepLines w:val="0"/>
        <w:pageBreakBefore w:val="0"/>
        <w:widowControl w:val="0"/>
        <w:kinsoku/>
        <w:wordWrap/>
        <w:overflowPunct/>
        <w:topLinePunct w:val="0"/>
        <w:autoSpaceDE/>
        <w:autoSpaceDN/>
        <w:bidi w:val="0"/>
        <w:adjustRightInd/>
        <w:snapToGrid/>
        <w:spacing w:before="150" w:line="240" w:lineRule="auto"/>
        <w:ind w:left="198" w:right="198" w:firstLine="499"/>
        <w:jc w:val="both"/>
        <w:textAlignment w:val="auto"/>
        <w:outlineLvl w:val="9"/>
        <w:rPr>
          <w:sz w:val="32"/>
          <w:szCs w:val="32"/>
        </w:rPr>
      </w:pPr>
      <w:r>
        <w:rPr>
          <w:rFonts w:ascii="黑体" w:hAnsi="黑体" w:eastAsia="黑体" w:cs="黑体"/>
          <w:position w:val="20"/>
          <w:sz w:val="32"/>
          <w:szCs w:val="32"/>
        </w:rPr>
        <w:t>六、关于新疆维吾尔自治区皮山县妇女联合会2023年一般公共预算基本支出情况说明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新疆维吾尔自治区皮山县妇女联合会2023年一般公共预算基本支出137.43万元，其中：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131.71万元，主要包括：基本工资、津贴补贴、奖金、绩效工资、机关事业单位基本养老保险缴费、职业年金缴费、城镇职工基本医疗保险缴费、公务员医疗补助缴费、其他社会保障缴费、住房公积金、退休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公用经费5.72万元，主要包括：办公费、取暖费、公务用车运行维护费。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before="150" w:line="240" w:lineRule="auto"/>
        <w:ind w:left="198" w:right="198" w:firstLine="499"/>
        <w:jc w:val="both"/>
        <w:textAlignment w:val="auto"/>
        <w:outlineLvl w:val="9"/>
        <w:rPr>
          <w:sz w:val="32"/>
          <w:szCs w:val="32"/>
        </w:rPr>
      </w:pPr>
      <w:r>
        <w:rPr>
          <w:rFonts w:ascii="黑体" w:hAnsi="黑体" w:eastAsia="黑体" w:cs="黑体"/>
          <w:position w:val="20"/>
          <w:sz w:val="32"/>
          <w:szCs w:val="32"/>
        </w:rPr>
        <w:t>七、关于新疆维吾尔自治区皮山县妇女联合会2023年一般公共预算项目支出情况说明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1.项目名称：妇联2023年妇女儿童工作经费预算通知-和地财行</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2022</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53号。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设立的政策依据：关于提前下达2023年妇女儿童工作经费预算的通知-和地财行</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2022</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53号。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项目承担单位：新疆维吾尔自治区皮山县妇女联合会。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资金分配情况：妇女儿童专项补助3万元。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2023年12 月31日。</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八、关于新疆维吾尔自治区皮山县妇女联合会2023年政府性基金预算拨款情况说明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新疆维吾尔自治区皮山县妇女联合会2023年没有使用政府性基金预算拨款安排的支出，政府性基金预算支出情况表为空表。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九、关于新疆维吾尔自治区皮山县妇女联合会2023年国有资本经营预算拨款情况说明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新疆维吾尔自治区皮山县妇女联合会2023年没有使用国有资本经营预算拨款安排的支出，国有资本经营预算支出情况表为空表。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十、关于新疆维吾尔自治区皮山县妇女联合会2023年财政拨款“三公”经费预算情况说明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新疆维吾尔自治区皮山县妇女联合会2023年财政拨款“三公”经费数为2万元，其中：因公出国（境）费0万元，公务用车购置费0万元，公务用车运行费2万元，公务接待费0万元。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公务用车无变化因此公用经费无变化。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2023年，新疆维吾尔自治区皮山县妇女联合会本级及下属0家行政单位和0家事业单位的机关运行经费财政拨款预算5.72万元，比上年预算减少0.73万元，下降11.32%。主要原因是公用经费压缩。</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2023年，新疆维吾尔自治区皮山县妇女联合会政府采购预算0万元，其中：政府采购货物预算0万元，政府采购工程预算0万元，政府采购服务预算0万元。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截至2022年底，新疆维吾尔自治区皮山县妇女联合会及下属各预算单位占用使用国有资产总体情况为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3.办公家具价值1.8万元。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2023年，本年度预算绩效管理的财政拨款项目1个，涉及预算金额3万元；非财政拨款项目0个，涉及预算金额0万元。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rPr>
          <w:rFonts w:ascii="仿宋" w:hAnsi="仿宋" w:eastAsia="仿宋" w:cs="仿宋"/>
          <w:position w:val="10"/>
          <w:sz w:val="34"/>
        </w:rPr>
      </w:pPr>
      <w:r>
        <w:rPr>
          <w:rFonts w:ascii="仿宋" w:hAnsi="仿宋" w:eastAsia="仿宋" w:cs="仿宋"/>
          <w:position w:val="10"/>
          <w:sz w:val="34"/>
        </w:rPr>
        <w:br w:type="page"/>
      </w:r>
    </w:p>
    <w:p>
      <w:pPr>
        <w:ind w:left="200" w:right="200" w:firstLine="500"/>
        <w:jc w:val="both"/>
        <w:rPr>
          <w:rFonts w:ascii="仿宋" w:hAnsi="仿宋" w:eastAsia="仿宋" w:cs="仿宋"/>
          <w:position w:val="10"/>
          <w:sz w:val="34"/>
        </w:rPr>
      </w:pPr>
    </w:p>
    <w:tbl>
      <w:tblPr>
        <w:tblStyle w:val="6"/>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412"/>
        <w:gridCol w:w="930"/>
        <w:gridCol w:w="1571"/>
        <w:gridCol w:w="783"/>
        <w:gridCol w:w="1100"/>
        <w:gridCol w:w="1250"/>
        <w:gridCol w:w="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新疆维吾尔自治区皮山县妇女联合会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妇联2023年妇女儿童工作经费预算通知-和地财行{2022}53号</w:t>
            </w:r>
          </w:p>
        </w:tc>
        <w:tc>
          <w:tcPr>
            <w:tcW w:w="188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阿丽亚古丽·阿布来克木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157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top"/>
          </w:tcPr>
          <w:p>
            <w:pPr>
              <w:jc w:val="center"/>
              <w:rPr>
                <w:rFonts w:ascii="仿宋" w:hAnsi="仿宋" w:eastAsia="仿宋" w:cs="仿宋"/>
                <w:position w:val="8"/>
                <w:sz w:val="20"/>
              </w:rPr>
            </w:pPr>
          </w:p>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代表和维护妇女权益，促进男女平等；组织妇女、引导妇女、服务妇女和维护妇女儿童合法权益。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9"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单位数量</w:t>
            </w:r>
          </w:p>
        </w:tc>
        <w:tc>
          <w:tcPr>
            <w:tcW w:w="93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w:t>
            </w:r>
          </w:p>
        </w:tc>
        <w:tc>
          <w:tcPr>
            <w:tcW w:w="1571"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和地财行{2022}53号</w:t>
            </w:r>
          </w:p>
        </w:tc>
        <w:tc>
          <w:tcPr>
            <w:tcW w:w="783"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10</w:t>
            </w:r>
          </w:p>
        </w:tc>
        <w:tc>
          <w:tcPr>
            <w:tcW w:w="125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按评判等级赋分</w:t>
            </w: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资金使用率</w:t>
            </w:r>
          </w:p>
        </w:tc>
        <w:tc>
          <w:tcPr>
            <w:tcW w:w="93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95</w:t>
            </w:r>
          </w:p>
        </w:tc>
        <w:tc>
          <w:tcPr>
            <w:tcW w:w="1571"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和地财行{2022}53号</w:t>
            </w:r>
          </w:p>
        </w:tc>
        <w:tc>
          <w:tcPr>
            <w:tcW w:w="783"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10</w:t>
            </w:r>
          </w:p>
        </w:tc>
        <w:tc>
          <w:tcPr>
            <w:tcW w:w="125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按评判等级赋分</w:t>
            </w: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资金使用及时性</w:t>
            </w:r>
          </w:p>
        </w:tc>
        <w:tc>
          <w:tcPr>
            <w:tcW w:w="93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即时充足使用</w:t>
            </w:r>
          </w:p>
        </w:tc>
        <w:tc>
          <w:tcPr>
            <w:tcW w:w="1571"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和地财行{2022}53号</w:t>
            </w:r>
          </w:p>
        </w:tc>
        <w:tc>
          <w:tcPr>
            <w:tcW w:w="783"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15</w:t>
            </w:r>
          </w:p>
        </w:tc>
        <w:tc>
          <w:tcPr>
            <w:tcW w:w="125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按评判等级赋分</w:t>
            </w: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成本指标</w:t>
            </w:r>
          </w:p>
        </w:tc>
        <w:tc>
          <w:tcPr>
            <w:tcW w:w="93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3万元</w:t>
            </w:r>
          </w:p>
        </w:tc>
        <w:tc>
          <w:tcPr>
            <w:tcW w:w="1571"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和地财行{2022}53号</w:t>
            </w:r>
          </w:p>
        </w:tc>
        <w:tc>
          <w:tcPr>
            <w:tcW w:w="783"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15</w:t>
            </w:r>
          </w:p>
        </w:tc>
        <w:tc>
          <w:tcPr>
            <w:tcW w:w="125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按评判等级赋分</w:t>
            </w: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提高服务能力</w:t>
            </w:r>
          </w:p>
        </w:tc>
        <w:tc>
          <w:tcPr>
            <w:tcW w:w="93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提高服务能力</w:t>
            </w:r>
          </w:p>
        </w:tc>
        <w:tc>
          <w:tcPr>
            <w:tcW w:w="1571"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和地财行{2022}53号</w:t>
            </w:r>
          </w:p>
        </w:tc>
        <w:tc>
          <w:tcPr>
            <w:tcW w:w="783"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15</w:t>
            </w:r>
          </w:p>
        </w:tc>
        <w:tc>
          <w:tcPr>
            <w:tcW w:w="125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按评判等级赋分</w:t>
            </w: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8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2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提高工作效率</w:t>
            </w:r>
          </w:p>
        </w:tc>
        <w:tc>
          <w:tcPr>
            <w:tcW w:w="93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提高工作效率</w:t>
            </w:r>
          </w:p>
        </w:tc>
        <w:tc>
          <w:tcPr>
            <w:tcW w:w="1571"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和地财行{2022}53号</w:t>
            </w:r>
          </w:p>
        </w:tc>
        <w:tc>
          <w:tcPr>
            <w:tcW w:w="783"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15</w:t>
            </w:r>
          </w:p>
        </w:tc>
        <w:tc>
          <w:tcPr>
            <w:tcW w:w="125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按评判等级赋分</w:t>
            </w: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8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2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8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2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8"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妇女儿童满意度</w:t>
            </w:r>
          </w:p>
        </w:tc>
        <w:tc>
          <w:tcPr>
            <w:tcW w:w="93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w:t>
            </w:r>
          </w:p>
        </w:tc>
        <w:tc>
          <w:tcPr>
            <w:tcW w:w="1571"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和地财行{2022}53号</w:t>
            </w:r>
          </w:p>
        </w:tc>
        <w:tc>
          <w:tcPr>
            <w:tcW w:w="783"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15</w:t>
            </w:r>
          </w:p>
        </w:tc>
        <w:tc>
          <w:tcPr>
            <w:tcW w:w="1250" w:type="dxa"/>
            <w:tcBorders>
              <w:top w:val="single" w:color="000000" w:sz="4" w:space="0"/>
              <w:left w:val="single" w:color="000000" w:sz="4" w:space="0"/>
              <w:bottom w:val="single" w:color="000000" w:sz="4" w:space="0"/>
              <w:right w:val="single" w:color="000000" w:sz="4" w:space="0"/>
            </w:tcBorders>
            <w:vAlign w:val="center"/>
          </w:tcPr>
          <w:p>
            <w:pPr>
              <w:ind w:left="30" w:leftChars="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满意度赋分</w:t>
            </w:r>
          </w:p>
        </w:tc>
        <w:tc>
          <w:tcPr>
            <w:tcW w:w="78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ind w:left="200" w:right="200" w:firstLine="500"/>
        <w:jc w:val="both"/>
        <w:rPr>
          <w:rFonts w:ascii="仿宋" w:hAnsi="仿宋" w:eastAsia="仿宋" w:cs="仿宋"/>
          <w:position w:val="10"/>
          <w:sz w:val="34"/>
        </w:rPr>
      </w:pPr>
    </w:p>
    <w:p>
      <w:pPr>
        <w:spacing w:before="150"/>
        <w:ind w:right="2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r>
        <w:br w:type="textWrapping"/>
      </w: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pPr>
      <w:bookmarkStart w:id="0" w:name="_GoBack"/>
      <w:bookmarkEnd w:id="0"/>
      <w:r>
        <w:rPr>
          <w:rFonts w:ascii="仿宋" w:hAnsi="仿宋" w:eastAsia="仿宋" w:cs="仿宋"/>
          <w:position w:val="10"/>
          <w:sz w:val="34"/>
        </w:rPr>
        <w:t>新疆维吾尔自治区皮山县妇女联合会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pPr>
      <w:r>
        <w:rPr>
          <w:rFonts w:ascii="仿宋" w:hAnsi="仿宋" w:eastAsia="仿宋" w:cs="仿宋"/>
          <w:position w:val="10"/>
          <w:sz w:val="34"/>
        </w:rPr>
        <w:t>2023年1月</w:t>
      </w:r>
      <w:r>
        <w:rPr>
          <w:rFonts w:hint="eastAsia" w:ascii="仿宋" w:hAnsi="仿宋" w:eastAsia="仿宋" w:cs="仿宋"/>
          <w:position w:val="10"/>
          <w:sz w:val="34"/>
          <w:lang w:val="en-US" w:eastAsia="zh-CN"/>
        </w:rPr>
        <w:t>18</w:t>
      </w:r>
      <w:r>
        <w:rPr>
          <w:rFonts w:ascii="仿宋" w:hAnsi="仿宋" w:eastAsia="仿宋" w:cs="仿宋"/>
          <w:position w:val="10"/>
          <w:sz w:val="34"/>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BC9C9"/>
    <w:multiLevelType w:val="singleLevel"/>
    <w:tmpl w:val="1A4BC9C9"/>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663BA"/>
    <w:rsid w:val="02207D1D"/>
    <w:rsid w:val="033E24BF"/>
    <w:rsid w:val="057121E1"/>
    <w:rsid w:val="063C5BB9"/>
    <w:rsid w:val="07F044DA"/>
    <w:rsid w:val="095472CE"/>
    <w:rsid w:val="09626517"/>
    <w:rsid w:val="0978098D"/>
    <w:rsid w:val="0ACF0EF2"/>
    <w:rsid w:val="0B191A23"/>
    <w:rsid w:val="0BFA796A"/>
    <w:rsid w:val="0C1F0196"/>
    <w:rsid w:val="0C3B0282"/>
    <w:rsid w:val="0DDB0EA0"/>
    <w:rsid w:val="0F90285C"/>
    <w:rsid w:val="100E5C1A"/>
    <w:rsid w:val="106F260C"/>
    <w:rsid w:val="130A42D5"/>
    <w:rsid w:val="13297C5C"/>
    <w:rsid w:val="15532C4D"/>
    <w:rsid w:val="161B468A"/>
    <w:rsid w:val="177602B5"/>
    <w:rsid w:val="1A27579B"/>
    <w:rsid w:val="1A535EEE"/>
    <w:rsid w:val="1B0F2FFD"/>
    <w:rsid w:val="1B3E3557"/>
    <w:rsid w:val="1CE06117"/>
    <w:rsid w:val="1CF12109"/>
    <w:rsid w:val="1D0A592A"/>
    <w:rsid w:val="1EC14A51"/>
    <w:rsid w:val="1F335E48"/>
    <w:rsid w:val="22193A0E"/>
    <w:rsid w:val="238C4DBD"/>
    <w:rsid w:val="24561F4F"/>
    <w:rsid w:val="256B1065"/>
    <w:rsid w:val="28DD4E6B"/>
    <w:rsid w:val="28F7460A"/>
    <w:rsid w:val="2B2C678F"/>
    <w:rsid w:val="2B671414"/>
    <w:rsid w:val="2C30179C"/>
    <w:rsid w:val="2CE06EF4"/>
    <w:rsid w:val="2D333E32"/>
    <w:rsid w:val="2DAE1598"/>
    <w:rsid w:val="2EE108CF"/>
    <w:rsid w:val="2F860D43"/>
    <w:rsid w:val="2FAC3CDD"/>
    <w:rsid w:val="30494EF8"/>
    <w:rsid w:val="31EE657F"/>
    <w:rsid w:val="3292097B"/>
    <w:rsid w:val="35665E9A"/>
    <w:rsid w:val="356D456C"/>
    <w:rsid w:val="35AC3A82"/>
    <w:rsid w:val="35FA3E56"/>
    <w:rsid w:val="363529FB"/>
    <w:rsid w:val="37A133D5"/>
    <w:rsid w:val="38D52D56"/>
    <w:rsid w:val="3A277FF6"/>
    <w:rsid w:val="3A974A6C"/>
    <w:rsid w:val="3BAC7669"/>
    <w:rsid w:val="3C2B1969"/>
    <w:rsid w:val="3E8B4E6F"/>
    <w:rsid w:val="44B47855"/>
    <w:rsid w:val="46DD4BCF"/>
    <w:rsid w:val="48474596"/>
    <w:rsid w:val="488B2750"/>
    <w:rsid w:val="49015021"/>
    <w:rsid w:val="4A3459A1"/>
    <w:rsid w:val="4AD10BB6"/>
    <w:rsid w:val="4AFD7231"/>
    <w:rsid w:val="4F401B08"/>
    <w:rsid w:val="4F9117AF"/>
    <w:rsid w:val="501B55ED"/>
    <w:rsid w:val="50FD3C35"/>
    <w:rsid w:val="55A676EA"/>
    <w:rsid w:val="57DB03E4"/>
    <w:rsid w:val="5845471B"/>
    <w:rsid w:val="595517A8"/>
    <w:rsid w:val="59756CEF"/>
    <w:rsid w:val="5BC044C3"/>
    <w:rsid w:val="5E014094"/>
    <w:rsid w:val="5F9366C9"/>
    <w:rsid w:val="60425927"/>
    <w:rsid w:val="63056D20"/>
    <w:rsid w:val="666B3146"/>
    <w:rsid w:val="67060C31"/>
    <w:rsid w:val="670D5A0B"/>
    <w:rsid w:val="67A7189D"/>
    <w:rsid w:val="67BF0936"/>
    <w:rsid w:val="689164A4"/>
    <w:rsid w:val="6B400903"/>
    <w:rsid w:val="6D31337A"/>
    <w:rsid w:val="6DFF1C9E"/>
    <w:rsid w:val="6EA928AF"/>
    <w:rsid w:val="709960CB"/>
    <w:rsid w:val="718F03BC"/>
    <w:rsid w:val="723E4D03"/>
    <w:rsid w:val="72C0652D"/>
    <w:rsid w:val="743C7B07"/>
    <w:rsid w:val="74646D1A"/>
    <w:rsid w:val="775328D0"/>
    <w:rsid w:val="78A5252A"/>
    <w:rsid w:val="78FD793B"/>
    <w:rsid w:val="7B4641BD"/>
    <w:rsid w:val="7C7E4681"/>
    <w:rsid w:val="7EB75B4B"/>
    <w:rsid w:val="7FC863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2897</Words>
  <Characters>3839</Characters>
  <TotalTime>0</TotalTime>
  <ScaleCrop>false</ScaleCrop>
  <LinksUpToDate>false</LinksUpToDate>
  <CharactersWithSpaces>4243</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2023-04-26T03:48:00Z</dcterms:created>
  <dc:creator>Apache POI</dc:creator>
  <cp:lastModifiedBy>Administrator</cp:lastModifiedBy>
  <cp:lastPrinted>2025-06-13T10:55:00Z</cp:lastPrinted>
  <dcterms:modified xsi:type="dcterms:W3CDTF">2025-07-23T09:38:12Z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13B035D33F4242978CC8CCA95AD29D3F_12</vt:lpwstr>
  </property>
</Properties>
</file>