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eastAsia" w:ascii="方正小标宋_GBK" w:hAnsi="宋体" w:eastAsia="方正小标宋_GBK" w:cs="Times New Roman"/>
          <w:color w:val="auto"/>
          <w:kern w:val="0"/>
          <w:sz w:val="44"/>
          <w:szCs w:val="44"/>
          <w:highlight w:val="none"/>
          <w:lang w:val="en-US" w:eastAsia="zh-CN" w:bidi="ar-SA"/>
        </w:rPr>
      </w:pP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hint="eastAsia" w:ascii="方正小标宋_GBK" w:hAnsi="宋体" w:eastAsia="方正小标宋_GBK" w:cs="Times New Roman"/>
          <w:color w:val="auto"/>
          <w:kern w:val="0"/>
          <w:sz w:val="44"/>
          <w:szCs w:val="44"/>
          <w:highlight w:val="none"/>
          <w:lang w:val="en-US" w:eastAsia="zh-CN" w:bidi="ar-SA"/>
        </w:rPr>
        <w:t>皮山县新城区街道办事处</w:t>
      </w:r>
    </w:p>
    <w:p>
      <w:pPr>
        <w:widowControl/>
        <w:spacing w:before="100" w:beforeAutospacing="1" w:after="100" w:afterAutospacing="1"/>
        <w:jc w:val="center"/>
        <w:outlineLvl w:val="1"/>
        <w:rPr>
          <w:rFonts w:hint="eastAsia" w:ascii="方正小标宋_GBK" w:hAnsi="宋体" w:eastAsia="方正小标宋_GBK" w:cs="Times New Roman"/>
          <w:color w:val="auto"/>
          <w:kern w:val="0"/>
          <w:sz w:val="44"/>
          <w:szCs w:val="44"/>
          <w:highlight w:val="none"/>
          <w:lang w:val="en-US" w:eastAsia="zh-CN" w:bidi="ar-SA"/>
        </w:rPr>
      </w:pPr>
      <w:r>
        <w:rPr>
          <w:rFonts w:hint="eastAsia" w:ascii="方正小标宋_GBK" w:hAnsi="宋体" w:eastAsia="方正小标宋_GBK" w:cs="Times New Roman"/>
          <w:color w:val="auto"/>
          <w:kern w:val="0"/>
          <w:sz w:val="44"/>
          <w:szCs w:val="44"/>
          <w:highlight w:val="none"/>
          <w:lang w:val="en-US" w:eastAsia="zh-CN" w:bidi="ar-SA"/>
        </w:rPr>
        <w:t>2023年部门预算公开</w:t>
      </w:r>
    </w:p>
    <w:p>
      <w:r>
        <w:br w:type="page"/>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目  录</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第一部分 2023年部门概况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第二部分 2023年部门预算公开表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一、部门收支总体情况表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二、部门收入总体情况表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三、部门支出总体情况表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四、财政拨款收支预算总体情况表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七、一般公共预算项目支出情况表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八、政府性基金预算支出情况表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九、国有资本经营预算支出情况表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第三部分 2023年单位预算情况说明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一、关于皮山县新城区街道办事处2023年收支预算情况的总体说明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二、关于皮山县新城区街道办事处2023年收入预算情况说明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三、关于皮山县新城区街道办事处2023年支出预算情况说明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四、关于皮山县新城区街道办事处2023年财政拨款收支预算情况的总体说明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五、关于皮山县新城区街道办事处2023年一般公共预算当年拨款情况说明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六、关于皮山县新城区街道办事处2023年一般公共预算基本支出情况说明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七、关于皮山县新城区街道办事处2023年一般公共预算项目支出情况说明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八、关于皮山县新城区街道办事处2023年政府性基金预算拨款情况说明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九、关于皮山县新城区街道办事处2023年国有资本经营预算拨款情况说明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十、关于皮山县新城区街道办事处2023年财政拨款“三公”经费预算情况说明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十一、其他重要事项的情况说明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br w:type="textWrapping"/>
      </w:r>
    </w:p>
    <w:p>
      <w:pPr>
        <w:rPr>
          <w:rFonts w:ascii="黑体" w:hAnsi="黑体" w:eastAsia="黑体" w:cs="黑体"/>
          <w:position w:val="30"/>
          <w:sz w:val="42"/>
        </w:rPr>
      </w:pPr>
      <w:r>
        <w:rPr>
          <w:rFonts w:ascii="黑体" w:hAnsi="黑体" w:eastAsia="黑体" w:cs="黑体"/>
          <w:position w:val="30"/>
          <w:sz w:val="42"/>
        </w:rPr>
        <w:br w:type="page"/>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黑体" w:hAnsi="黑体" w:eastAsia="黑体" w:cs="Times New Roman"/>
          <w:color w:val="auto"/>
          <w:kern w:val="0"/>
          <w:sz w:val="32"/>
          <w:szCs w:val="32"/>
          <w:highlight w:val="none"/>
          <w:lang w:val="en-US" w:eastAsia="zh-CN" w:bidi="ar-SA"/>
        </w:rPr>
      </w:pPr>
      <w:r>
        <w:rPr>
          <w:rFonts w:hint="eastAsia" w:ascii="黑体" w:hAnsi="黑体" w:eastAsia="黑体" w:cs="Times New Roman"/>
          <w:color w:val="auto"/>
          <w:kern w:val="0"/>
          <w:sz w:val="32"/>
          <w:szCs w:val="32"/>
          <w:highlight w:val="none"/>
          <w:lang w:val="en-US" w:eastAsia="zh-CN" w:bidi="ar-SA"/>
        </w:rPr>
        <w:t>第一部分 2023年部门概况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一、主要职能</w:t>
      </w:r>
    </w:p>
    <w:p>
      <w:pPr>
        <w:keepNext w:val="0"/>
        <w:keepLines w:val="0"/>
        <w:pageBreakBefore w:val="0"/>
        <w:widowControl/>
        <w:kinsoku/>
        <w:wordWrap/>
        <w:overflowPunct/>
        <w:topLinePunct w:val="0"/>
        <w:autoSpaceDE/>
        <w:autoSpaceDN/>
        <w:bidi w:val="0"/>
        <w:adjustRightInd/>
        <w:snapToGrid/>
        <w:spacing w:beforeLines="0" w:line="600" w:lineRule="exact"/>
        <w:ind w:firstLine="640" w:firstLineChars="200"/>
        <w:jc w:val="left"/>
        <w:textAlignment w:val="auto"/>
        <w:rPr>
          <w:rFonts w:hint="eastAsia" w:ascii="仿宋_GB2312" w:hAnsi="黑体" w:eastAsia="仿宋_GB2312" w:cs="宋体"/>
          <w:bCs/>
          <w:color w:val="auto"/>
          <w:kern w:val="0"/>
          <w:sz w:val="32"/>
          <w:szCs w:val="32"/>
          <w:highlight w:val="none"/>
          <w:lang w:val="en-US" w:eastAsia="zh-CN" w:bidi="ar-SA"/>
        </w:rPr>
      </w:pPr>
      <w:r>
        <w:rPr>
          <w:rFonts w:hint="eastAsia" w:ascii="仿宋_GB2312" w:hAnsi="黑体" w:eastAsia="仿宋_GB2312" w:cs="宋体"/>
          <w:bCs/>
          <w:color w:val="auto"/>
          <w:kern w:val="0"/>
          <w:sz w:val="32"/>
          <w:szCs w:val="32"/>
          <w:highlight w:val="none"/>
          <w:lang w:val="en-US" w:eastAsia="zh-CN" w:bidi="ar-SA"/>
        </w:rPr>
        <w:t>(1)贯彻执行党和国家的各项方针、政策、法律、法 规以及上级党委、县政府和同级党工委的决议、决定。</w:t>
      </w:r>
    </w:p>
    <w:p>
      <w:pPr>
        <w:keepNext w:val="0"/>
        <w:keepLines w:val="0"/>
        <w:pageBreakBefore w:val="0"/>
        <w:widowControl/>
        <w:kinsoku/>
        <w:wordWrap/>
        <w:overflowPunct/>
        <w:topLinePunct w:val="0"/>
        <w:autoSpaceDE/>
        <w:autoSpaceDN/>
        <w:bidi w:val="0"/>
        <w:adjustRightInd/>
        <w:snapToGrid/>
        <w:spacing w:beforeLines="0" w:line="600" w:lineRule="exact"/>
        <w:ind w:left="638" w:leftChars="304" w:firstLine="0" w:firstLineChars="0"/>
        <w:jc w:val="left"/>
        <w:textAlignment w:val="auto"/>
        <w:rPr>
          <w:rFonts w:hint="eastAsia" w:ascii="仿宋_GB2312" w:hAnsi="黑体" w:eastAsia="仿宋_GB2312" w:cs="宋体"/>
          <w:bCs/>
          <w:color w:val="auto"/>
          <w:kern w:val="0"/>
          <w:sz w:val="32"/>
          <w:szCs w:val="32"/>
          <w:highlight w:val="none"/>
          <w:lang w:val="en-US" w:eastAsia="zh-CN" w:bidi="ar-SA"/>
        </w:rPr>
      </w:pPr>
      <w:r>
        <w:rPr>
          <w:rFonts w:hint="eastAsia" w:ascii="仿宋_GB2312" w:hAnsi="黑体" w:eastAsia="仿宋_GB2312" w:cs="宋体"/>
          <w:bCs/>
          <w:color w:val="auto"/>
          <w:kern w:val="0"/>
          <w:sz w:val="32"/>
          <w:szCs w:val="32"/>
          <w:highlight w:val="none"/>
          <w:lang w:val="en-US" w:eastAsia="zh-CN" w:bidi="ar-SA"/>
        </w:rPr>
        <w:t>(2)负责推动辖区经济工作，营造良好的经济发展环境。</w:t>
      </w:r>
    </w:p>
    <w:p>
      <w:pPr>
        <w:keepNext w:val="0"/>
        <w:keepLines w:val="0"/>
        <w:pageBreakBefore w:val="0"/>
        <w:widowControl/>
        <w:kinsoku/>
        <w:wordWrap/>
        <w:overflowPunct/>
        <w:topLinePunct w:val="0"/>
        <w:autoSpaceDE/>
        <w:autoSpaceDN/>
        <w:bidi w:val="0"/>
        <w:adjustRightInd/>
        <w:snapToGrid/>
        <w:spacing w:beforeLines="0" w:line="600" w:lineRule="exact"/>
        <w:ind w:firstLine="640" w:firstLineChars="200"/>
        <w:jc w:val="left"/>
        <w:textAlignment w:val="auto"/>
        <w:rPr>
          <w:rFonts w:hint="eastAsia" w:ascii="仿宋_GB2312" w:hAnsi="黑体" w:eastAsia="仿宋_GB2312" w:cs="宋体"/>
          <w:bCs/>
          <w:color w:val="auto"/>
          <w:kern w:val="0"/>
          <w:sz w:val="32"/>
          <w:szCs w:val="32"/>
          <w:highlight w:val="none"/>
          <w:lang w:val="en-US" w:eastAsia="zh-CN" w:bidi="ar-SA"/>
        </w:rPr>
      </w:pPr>
      <w:r>
        <w:rPr>
          <w:rFonts w:hint="eastAsia" w:ascii="仿宋_GB2312" w:hAnsi="黑体" w:eastAsia="仿宋_GB2312" w:cs="宋体"/>
          <w:bCs/>
          <w:color w:val="auto"/>
          <w:kern w:val="0"/>
          <w:sz w:val="32"/>
          <w:szCs w:val="32"/>
          <w:highlight w:val="none"/>
          <w:lang w:val="en-US" w:eastAsia="zh-CN" w:bidi="ar-SA"/>
        </w:rPr>
        <w:t>(3)负责拟订街道社会发展规划并组织实施，协助有关部门开展文化、教育、卫生等社会事业建设和事务管理工作。</w:t>
      </w:r>
    </w:p>
    <w:p>
      <w:pPr>
        <w:keepNext w:val="0"/>
        <w:keepLines w:val="0"/>
        <w:pageBreakBefore w:val="0"/>
        <w:widowControl/>
        <w:kinsoku/>
        <w:wordWrap/>
        <w:overflowPunct/>
        <w:topLinePunct w:val="0"/>
        <w:autoSpaceDE/>
        <w:autoSpaceDN/>
        <w:bidi w:val="0"/>
        <w:adjustRightInd/>
        <w:snapToGrid/>
        <w:spacing w:beforeLines="0" w:line="600" w:lineRule="exact"/>
        <w:ind w:firstLine="640" w:firstLineChars="200"/>
        <w:jc w:val="left"/>
        <w:textAlignment w:val="auto"/>
        <w:rPr>
          <w:rFonts w:hint="eastAsia" w:ascii="仿宋_GB2312" w:hAnsi="黑体" w:eastAsia="仿宋_GB2312" w:cs="宋体"/>
          <w:bCs/>
          <w:color w:val="auto"/>
          <w:kern w:val="0"/>
          <w:sz w:val="32"/>
          <w:szCs w:val="32"/>
          <w:highlight w:val="none"/>
          <w:lang w:val="en-US" w:eastAsia="zh-CN" w:bidi="ar-SA"/>
        </w:rPr>
      </w:pPr>
      <w:r>
        <w:rPr>
          <w:rFonts w:hint="eastAsia" w:ascii="仿宋_GB2312" w:hAnsi="黑体" w:eastAsia="仿宋_GB2312" w:cs="宋体"/>
          <w:bCs/>
          <w:color w:val="auto"/>
          <w:kern w:val="0"/>
          <w:sz w:val="32"/>
          <w:szCs w:val="32"/>
          <w:highlight w:val="none"/>
          <w:lang w:val="en-US" w:eastAsia="zh-CN" w:bidi="ar-SA"/>
        </w:rPr>
        <w:t>(4)负责辖区内社会治安综合治理、司法调解、信访调处、流动人口管理工作。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二、机构设置及人员情况</w:t>
      </w:r>
    </w:p>
    <w:p>
      <w:pPr>
        <w:keepNext w:val="0"/>
        <w:keepLines w:val="0"/>
        <w:pageBreakBefore w:val="0"/>
        <w:widowControl/>
        <w:kinsoku/>
        <w:wordWrap/>
        <w:overflowPunct/>
        <w:topLinePunct w:val="0"/>
        <w:autoSpaceDE/>
        <w:autoSpaceDN/>
        <w:bidi w:val="0"/>
        <w:adjustRightInd/>
        <w:snapToGrid/>
        <w:spacing w:beforeLines="0" w:line="600" w:lineRule="exact"/>
        <w:ind w:firstLine="640" w:firstLineChars="200"/>
        <w:jc w:val="left"/>
        <w:textAlignment w:val="auto"/>
        <w:rPr>
          <w:rFonts w:hint="eastAsia" w:ascii="仿宋_GB2312" w:hAnsi="黑体" w:eastAsia="仿宋_GB2312" w:cs="宋体"/>
          <w:bCs/>
          <w:color w:val="auto"/>
          <w:kern w:val="0"/>
          <w:sz w:val="32"/>
          <w:szCs w:val="32"/>
          <w:highlight w:val="none"/>
          <w:lang w:val="en-US" w:eastAsia="zh-CN" w:bidi="ar-SA"/>
        </w:rPr>
      </w:pPr>
      <w:r>
        <w:rPr>
          <w:rFonts w:hint="eastAsia" w:ascii="仿宋_GB2312" w:hAnsi="黑体" w:eastAsia="仿宋_GB2312" w:cs="宋体"/>
          <w:bCs/>
          <w:color w:val="auto"/>
          <w:kern w:val="0"/>
          <w:sz w:val="32"/>
          <w:szCs w:val="32"/>
          <w:highlight w:val="none"/>
          <w:lang w:val="en-US" w:eastAsia="zh-CN" w:bidi="ar-SA"/>
        </w:rPr>
        <w:t>皮山县新城区街道办事处无下属预算单位，下设7个科室，分别是：党建办公室、综合协调办公室、综合执法办公室、党群服务中心、社会事务服务中心、综治中心、司法所。</w:t>
      </w:r>
    </w:p>
    <w:p>
      <w:pPr>
        <w:keepNext w:val="0"/>
        <w:keepLines w:val="0"/>
        <w:pageBreakBefore w:val="0"/>
        <w:widowControl/>
        <w:kinsoku/>
        <w:wordWrap/>
        <w:overflowPunct/>
        <w:topLinePunct w:val="0"/>
        <w:autoSpaceDE/>
        <w:autoSpaceDN/>
        <w:bidi w:val="0"/>
        <w:adjustRightInd/>
        <w:snapToGrid/>
        <w:spacing w:beforeLines="0" w:line="600" w:lineRule="exact"/>
        <w:ind w:firstLine="640" w:firstLineChars="200"/>
        <w:jc w:val="left"/>
        <w:textAlignment w:val="auto"/>
        <w:rPr>
          <w:rFonts w:hint="eastAsia" w:ascii="仿宋_GB2312" w:hAnsi="黑体" w:eastAsia="仿宋_GB2312" w:cs="宋体"/>
          <w:bCs/>
          <w:color w:val="auto"/>
          <w:kern w:val="0"/>
          <w:sz w:val="32"/>
          <w:szCs w:val="32"/>
          <w:highlight w:val="none"/>
          <w:lang w:val="en-US" w:eastAsia="zh-CN" w:bidi="ar-SA"/>
        </w:rPr>
      </w:pPr>
      <w:r>
        <w:rPr>
          <w:rFonts w:hint="eastAsia" w:ascii="仿宋_GB2312" w:hAnsi="黑体" w:eastAsia="仿宋_GB2312" w:cs="宋体"/>
          <w:bCs/>
          <w:color w:val="auto"/>
          <w:kern w:val="0"/>
          <w:sz w:val="32"/>
          <w:szCs w:val="32"/>
          <w:highlight w:val="none"/>
          <w:lang w:val="en-US" w:eastAsia="zh-CN" w:bidi="ar-SA"/>
        </w:rPr>
        <w:t>皮山县新城区街道办事处单位编制数0，实有人数49人，其中：在职49人，增加2人；退休0人，增加0人；离休0人，增加0人。</w:t>
      </w:r>
    </w:p>
    <w:p>
      <w:r>
        <w:br w:type="textWrapping"/>
      </w:r>
    </w:p>
    <w:p>
      <w:r>
        <w:br w:type="page"/>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s="Times New Roman"/>
          <w:color w:val="auto"/>
          <w:kern w:val="0"/>
          <w:sz w:val="32"/>
          <w:szCs w:val="32"/>
          <w:highlight w:val="none"/>
          <w:lang w:val="en-US" w:eastAsia="zh-CN" w:bidi="ar-SA"/>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s="Times New Roman"/>
          <w:color w:val="auto"/>
          <w:kern w:val="0"/>
          <w:sz w:val="32"/>
          <w:szCs w:val="32"/>
          <w:highlight w:val="none"/>
          <w:lang w:val="en-US" w:eastAsia="zh-CN" w:bidi="ar-SA"/>
        </w:rPr>
      </w:pPr>
      <w:r>
        <w:rPr>
          <w:rFonts w:hint="eastAsia" w:ascii="黑体" w:hAnsi="黑体" w:eastAsia="黑体" w:cs="Times New Roman"/>
          <w:color w:val="auto"/>
          <w:kern w:val="0"/>
          <w:sz w:val="32"/>
          <w:szCs w:val="32"/>
          <w:highlight w:val="none"/>
          <w:lang w:val="en-US" w:eastAsia="zh-CN" w:bidi="ar-SA"/>
        </w:rPr>
        <w:t>第二部分 2023年部门预算公开表</w:t>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901"/>
        <w:gridCol w:w="813"/>
        <w:gridCol w:w="2975"/>
        <w:gridCol w:w="71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left"/>
            </w:pPr>
            <w:r>
              <w:rPr>
                <w:rFonts w:ascii="仿宋" w:hAnsi="仿宋" w:eastAsia="仿宋" w:cs="仿宋"/>
                <w:position w:val="8"/>
                <w:sz w:val="20"/>
              </w:rPr>
              <w:t>表1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收支总体情况表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714" w:type="dxa"/>
            <w:gridSpan w:val="2"/>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：皮山县新城区街道办事处</w:t>
            </w:r>
          </w:p>
        </w:tc>
        <w:tc>
          <w:tcPr>
            <w:tcW w:w="3686" w:type="dxa"/>
            <w:gridSpan w:val="2"/>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71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收   入</w:t>
            </w:r>
          </w:p>
        </w:tc>
        <w:tc>
          <w:tcPr>
            <w:tcW w:w="368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   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0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  目</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c>
          <w:tcPr>
            <w:tcW w:w="297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一、本年收入</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438.35</w:t>
            </w:r>
          </w:p>
        </w:tc>
        <w:tc>
          <w:tcPr>
            <w:tcW w:w="29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 一般公共服务支出</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31.54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1.一般公共预算拨款</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438.35</w:t>
            </w:r>
          </w:p>
        </w:tc>
        <w:tc>
          <w:tcPr>
            <w:tcW w:w="29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 外交支出</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其中：一般财力</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436.35</w:t>
            </w:r>
          </w:p>
        </w:tc>
        <w:tc>
          <w:tcPr>
            <w:tcW w:w="29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 国防支出</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上级一般公共预算安排转移支付</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c>
          <w:tcPr>
            <w:tcW w:w="29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 公共安全支出</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2.基金预算拨款</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 教育支出</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w:t>
            </w:r>
            <w:r>
              <w:rPr>
                <w:rFonts w:hint="eastAsia" w:ascii="仿宋" w:hAnsi="仿宋" w:eastAsia="仿宋" w:cs="仿宋"/>
                <w:position w:val="8"/>
                <w:sz w:val="20"/>
                <w:lang w:eastAsia="zh-CN"/>
              </w:rPr>
              <w:t>政府性基金</w:t>
            </w:r>
            <w:r>
              <w:rPr>
                <w:rFonts w:ascii="仿宋" w:hAnsi="仿宋" w:eastAsia="仿宋" w:cs="仿宋"/>
                <w:position w:val="8"/>
                <w:sz w:val="20"/>
              </w:rPr>
              <w:t>收入</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 科学技术支出</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w:t>
            </w:r>
            <w:r>
              <w:rPr>
                <w:rFonts w:hint="eastAsia" w:ascii="仿宋" w:hAnsi="仿宋" w:eastAsia="仿宋" w:cs="仿宋"/>
                <w:position w:val="8"/>
                <w:sz w:val="20"/>
                <w:lang w:eastAsia="zh-CN"/>
              </w:rPr>
              <w:t>县政府性基金</w:t>
            </w:r>
            <w:r>
              <w:rPr>
                <w:rFonts w:ascii="仿宋" w:hAnsi="仿宋" w:eastAsia="仿宋" w:cs="仿宋"/>
                <w:position w:val="8"/>
                <w:sz w:val="20"/>
              </w:rPr>
              <w:t>安排转移支付</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 文化旅游体育与传媒支出</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3.国有资本经营预算拨款</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 社会保障和就业支出</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32.72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其中：国有资本经营收入</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 社会保险基金支出</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上级国有资本经营预算安排转移支付</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 卫生健康支出</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4.财政专户核拨</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 节能环保支出</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5.单位资金</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 城乡社区支出</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414.13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其中：事业收入</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 农林水支出</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上级补助收入</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 交通运输支出</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附属单位上缴收入</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 资源勘探工业信息等支出</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事业单位经营收入</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 商业服务业等支出</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其他收入</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 金融支出</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二、上年结转结余</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536.92</w:t>
            </w:r>
          </w:p>
        </w:tc>
        <w:tc>
          <w:tcPr>
            <w:tcW w:w="29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 援助其他地区支出</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1.财政拨款结转</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536.92</w:t>
            </w:r>
          </w:p>
        </w:tc>
        <w:tc>
          <w:tcPr>
            <w:tcW w:w="29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 自然资源海洋气象等支出</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其中：一般公共预算拨款</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536.92</w:t>
            </w:r>
          </w:p>
        </w:tc>
        <w:tc>
          <w:tcPr>
            <w:tcW w:w="29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 住房保障支出</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基金预算拨款</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 粮油物资储备支出</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国有资本经营预算拨款</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 国有资本经营预算支出</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2.非财政拨款结转结余</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 灾害防治及应急管理支出</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其中：财政专户核拨</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 预备费</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单位资金</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 其他支出</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496.88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 转移性支出</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 债务还本支出</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 债务付息支出</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 债务发行费用支出</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 抗疫特别国债安排的支出</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9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9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  入  总  计</w:t>
            </w:r>
          </w:p>
        </w:tc>
        <w:tc>
          <w:tcPr>
            <w:tcW w:w="8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975.27</w:t>
            </w:r>
          </w:p>
        </w:tc>
        <w:tc>
          <w:tcPr>
            <w:tcW w:w="29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  出  总  计</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975.27</w:t>
            </w:r>
          </w:p>
        </w:tc>
      </w:tr>
    </w:tbl>
    <w:p>
      <w:r>
        <w:br w:type="page"/>
      </w:r>
    </w:p>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525"/>
        <w:gridCol w:w="525"/>
        <w:gridCol w:w="714"/>
        <w:gridCol w:w="575"/>
        <w:gridCol w:w="562"/>
        <w:gridCol w:w="388"/>
        <w:gridCol w:w="386"/>
        <w:gridCol w:w="525"/>
        <w:gridCol w:w="525"/>
        <w:gridCol w:w="525"/>
        <w:gridCol w:w="525"/>
        <w:gridCol w:w="525"/>
        <w:gridCol w:w="525"/>
        <w:gridCol w:w="525"/>
        <w:gridCol w:w="52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jc w:val="left"/>
            </w:pPr>
            <w:r>
              <w:rPr>
                <w:rFonts w:ascii="仿宋" w:hAnsi="仿宋" w:eastAsia="仿宋" w:cs="仿宋"/>
                <w:position w:val="8"/>
                <w:sz w:val="20"/>
              </w:rPr>
              <w:t>表2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收入总体情况表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8"/>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：皮山县新城区街道办事处</w:t>
            </w:r>
          </w:p>
        </w:tc>
        <w:tc>
          <w:tcPr>
            <w:tcW w:w="4200" w:type="dxa"/>
            <w:gridSpan w:val="8"/>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功能分类编码</w:t>
            </w:r>
          </w:p>
        </w:tc>
        <w:tc>
          <w:tcPr>
            <w:tcW w:w="123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13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总  计</w:t>
            </w:r>
          </w:p>
        </w:tc>
        <w:tc>
          <w:tcPr>
            <w:tcW w:w="77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w:t>
            </w:r>
          </w:p>
        </w:tc>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财政专户（教育收费）</w:t>
            </w:r>
          </w:p>
        </w:tc>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单位资金</w:t>
            </w:r>
          </w:p>
        </w:tc>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财政拨款结转</w:t>
            </w:r>
          </w:p>
        </w:tc>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非财政拨款结转结余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714" w:type="dxa"/>
          </w:tcPr>
          <w:p/>
        </w:tc>
        <w:tc>
          <w:tcPr>
            <w:tcW w:w="575" w:type="dxa"/>
          </w:tcP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财政拨款（补助）小计</w:t>
            </w:r>
          </w:p>
        </w:tc>
        <w:tc>
          <w:tcPr>
            <w:tcW w:w="38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38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上级一般公共预算安排的转移支付</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hint="eastAsia" w:ascii="黑体" w:hAnsi="黑体" w:eastAsia="黑体" w:cs="黑体"/>
                <w:position w:val="10"/>
                <w:sz w:val="20"/>
                <w:lang w:eastAsia="zh-CN"/>
              </w:rPr>
              <w:t>政府性基金</w:t>
            </w:r>
            <w:r>
              <w:rPr>
                <w:rFonts w:ascii="黑体" w:hAnsi="黑体" w:eastAsia="黑体" w:cs="黑体"/>
                <w:position w:val="10"/>
                <w:sz w:val="20"/>
              </w:rPr>
              <w:t>预算</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w:t>
            </w:r>
            <w:r>
              <w:rPr>
                <w:rFonts w:hint="eastAsia" w:ascii="黑体" w:hAnsi="黑体" w:eastAsia="黑体" w:cs="黑体"/>
                <w:position w:val="10"/>
                <w:sz w:val="20"/>
                <w:lang w:eastAsia="zh-CN"/>
              </w:rPr>
              <w:t>县政府性基金</w:t>
            </w:r>
            <w:r>
              <w:rPr>
                <w:rFonts w:ascii="黑体" w:hAnsi="黑体" w:eastAsia="黑体" w:cs="黑体"/>
                <w:position w:val="10"/>
                <w:sz w:val="20"/>
              </w:rPr>
              <w:t>安排的转移支付</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上级国有资本经营预算安排的转移支付</w:t>
            </w:r>
          </w:p>
        </w:tc>
        <w:tc>
          <w:tcPr>
            <w:tcW w:w="525" w:type="dxa"/>
          </w:tcPr>
          <w:p/>
        </w:tc>
        <w:tc>
          <w:tcPr>
            <w:tcW w:w="525" w:type="dxa"/>
          </w:tcPr>
          <w:p/>
        </w:tc>
        <w:tc>
          <w:tcPr>
            <w:tcW w:w="525" w:type="dxa"/>
          </w:tcPr>
          <w:p/>
        </w:tc>
        <w:tc>
          <w:tcPr>
            <w:tcW w:w="525"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31.54</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c>
          <w:tcPr>
            <w:tcW w:w="38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29.54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群众团体事务</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25.94</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25.94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7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其他群众团体事务支出</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25.94</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25.94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统战事务</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5.6</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c>
          <w:tcPr>
            <w:tcW w:w="38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7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宗教事务</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c>
          <w:tcPr>
            <w:tcW w:w="38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7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其他统战事务支出</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32.72</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22.22</w:t>
            </w:r>
          </w:p>
        </w:tc>
        <w:tc>
          <w:tcPr>
            <w:tcW w:w="3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22.22</w:t>
            </w:r>
          </w:p>
        </w:tc>
        <w:tc>
          <w:tcPr>
            <w:tcW w:w="38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22.22</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22.22</w:t>
            </w:r>
          </w:p>
        </w:tc>
        <w:tc>
          <w:tcPr>
            <w:tcW w:w="3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22.22</w:t>
            </w:r>
          </w:p>
        </w:tc>
        <w:tc>
          <w:tcPr>
            <w:tcW w:w="38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7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14.81</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14.81</w:t>
            </w:r>
          </w:p>
        </w:tc>
        <w:tc>
          <w:tcPr>
            <w:tcW w:w="3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14.81</w:t>
            </w:r>
          </w:p>
        </w:tc>
        <w:tc>
          <w:tcPr>
            <w:tcW w:w="38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7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7.41</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7.41</w:t>
            </w:r>
          </w:p>
        </w:tc>
        <w:tc>
          <w:tcPr>
            <w:tcW w:w="3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7.41</w:t>
            </w:r>
          </w:p>
        </w:tc>
        <w:tc>
          <w:tcPr>
            <w:tcW w:w="38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就业补助</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0.5</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7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其他就业补助支出</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0.5</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临时救助</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7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临时救助支出</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城乡社区支出</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414.13</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414.13</w:t>
            </w:r>
          </w:p>
        </w:tc>
        <w:tc>
          <w:tcPr>
            <w:tcW w:w="3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414.13</w:t>
            </w:r>
          </w:p>
        </w:tc>
        <w:tc>
          <w:tcPr>
            <w:tcW w:w="38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城乡社区管理事务</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414.13</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414.13</w:t>
            </w:r>
          </w:p>
        </w:tc>
        <w:tc>
          <w:tcPr>
            <w:tcW w:w="3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414.13</w:t>
            </w:r>
          </w:p>
        </w:tc>
        <w:tc>
          <w:tcPr>
            <w:tcW w:w="38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7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行政运行</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414.13</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414.13</w:t>
            </w:r>
          </w:p>
        </w:tc>
        <w:tc>
          <w:tcPr>
            <w:tcW w:w="3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414.13</w:t>
            </w:r>
          </w:p>
        </w:tc>
        <w:tc>
          <w:tcPr>
            <w:tcW w:w="38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496.88</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496.88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496.88</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496.88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7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496.88</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8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496.88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975.27</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438.35</w:t>
            </w:r>
          </w:p>
        </w:tc>
        <w:tc>
          <w:tcPr>
            <w:tcW w:w="3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436.35</w:t>
            </w:r>
          </w:p>
        </w:tc>
        <w:tc>
          <w:tcPr>
            <w:tcW w:w="38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536.92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
      <w:r>
        <w:br w:type="textWrapping"/>
      </w:r>
      <w:r>
        <w:br w:type="textWrapping"/>
      </w:r>
    </w:p>
    <w:p/>
    <w:p>
      <w:r>
        <w:br w:type="textWrapping"/>
      </w:r>
    </w:p>
    <w:p>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601"/>
        <w:gridCol w:w="525"/>
        <w:gridCol w:w="554"/>
        <w:gridCol w:w="1680"/>
        <w:gridCol w:w="1680"/>
        <w:gridCol w:w="1680"/>
        <w:gridCol w:w="16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center"/>
            </w:pPr>
            <w:r>
              <w:rPr>
                <w:rFonts w:hint="eastAsia" w:ascii="黑体" w:hAnsi="黑体" w:eastAsia="黑体" w:cs="黑体"/>
                <w:position w:val="15"/>
                <w:sz w:val="28"/>
                <w:lang w:eastAsia="zh-CN"/>
              </w:rPr>
              <w:t>部门</w:t>
            </w:r>
            <w:r>
              <w:rPr>
                <w:rFonts w:ascii="黑体" w:hAnsi="黑体" w:eastAsia="黑体" w:cs="黑体"/>
                <w:position w:val="15"/>
                <w:sz w:val="28"/>
              </w:rPr>
              <w:t>支出总体情况表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040" w:type="dxa"/>
            <w:gridSpan w:val="5"/>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：皮山县新城区街道办事处</w:t>
            </w:r>
          </w:p>
        </w:tc>
        <w:tc>
          <w:tcPr>
            <w:tcW w:w="3360" w:type="dxa"/>
            <w:gridSpan w:val="2"/>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04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36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68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55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680" w:type="dxa"/>
          </w:tcPr>
          <w:p/>
        </w:tc>
        <w:tc>
          <w:tcPr>
            <w:tcW w:w="1680" w:type="dxa"/>
          </w:tcPr>
          <w:p/>
        </w:tc>
        <w:tc>
          <w:tcPr>
            <w:tcW w:w="1680" w:type="dxa"/>
          </w:tcPr>
          <w:p/>
        </w:tc>
        <w:tc>
          <w:tcPr>
            <w:tcW w:w="168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5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31.54</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31.54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29</w:t>
            </w:r>
          </w:p>
        </w:tc>
        <w:tc>
          <w:tcPr>
            <w:tcW w:w="55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群众团体事务</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25.94</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25.94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29</w:t>
            </w:r>
          </w:p>
        </w:tc>
        <w:tc>
          <w:tcPr>
            <w:tcW w:w="55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其他群众团体事务支出</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25.94</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25.94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55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统战事务</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5.6</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55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宗教事务</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55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其他统战事务支出</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5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32.72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22.22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5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22.22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22.22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5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14.81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14.81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5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7.41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7.41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55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就业补助</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0.5</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55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其他就业补助支出</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0.5</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w:t>
            </w:r>
          </w:p>
        </w:tc>
        <w:tc>
          <w:tcPr>
            <w:tcW w:w="55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临时救助</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w:t>
            </w:r>
          </w:p>
        </w:tc>
        <w:tc>
          <w:tcPr>
            <w:tcW w:w="55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临时救助支出</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5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城乡社区支出</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414.13</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414.13</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5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城乡社区管理事务</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414.13</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414.13</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5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行政运行</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414.13</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414.13</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5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496.88</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496.88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5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496.88</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496.88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5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496.88</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496.88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5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975.27</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436.35</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538.92</w:t>
            </w:r>
          </w:p>
        </w:tc>
      </w:tr>
    </w:tbl>
    <w:p>
      <w:r>
        <w:br w:type="textWrapping"/>
      </w:r>
    </w:p>
    <w:p/>
    <w:p/>
    <w:p/>
    <w:p/>
    <w:p/>
    <w:p/>
    <w:p/>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301"/>
        <w:gridCol w:w="625"/>
        <w:gridCol w:w="2875"/>
        <w:gridCol w:w="675"/>
        <w:gridCol w:w="575"/>
        <w:gridCol w:w="513"/>
        <w:gridCol w:w="83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财政拨款收支预算总体情况表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801" w:type="dxa"/>
            <w:gridSpan w:val="3"/>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：皮山县新城区街道办事处</w:t>
            </w:r>
          </w:p>
        </w:tc>
        <w:tc>
          <w:tcPr>
            <w:tcW w:w="2599"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801"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财政拨款收入</w:t>
            </w:r>
          </w:p>
        </w:tc>
        <w:tc>
          <w:tcPr>
            <w:tcW w:w="2599"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    目</w:t>
            </w:r>
          </w:p>
        </w:tc>
        <w:tc>
          <w:tcPr>
            <w:tcW w:w="6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287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 能 分 类</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51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hint="eastAsia" w:ascii="黑体" w:hAnsi="黑体" w:eastAsia="黑体" w:cs="黑体"/>
                <w:position w:val="10"/>
                <w:sz w:val="20"/>
                <w:lang w:eastAsia="zh-CN"/>
              </w:rPr>
              <w:t>政府性基金</w:t>
            </w:r>
            <w:r>
              <w:rPr>
                <w:rFonts w:ascii="黑体" w:hAnsi="黑体" w:eastAsia="黑体" w:cs="黑体"/>
                <w:position w:val="10"/>
                <w:sz w:val="20"/>
              </w:rPr>
              <w:t>预算</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一、财政拨款（补助）</w:t>
            </w:r>
          </w:p>
        </w:tc>
        <w:tc>
          <w:tcPr>
            <w:tcW w:w="6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438.35</w:t>
            </w:r>
          </w:p>
        </w:tc>
        <w:tc>
          <w:tcPr>
            <w:tcW w:w="28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 一般公共服务支出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c>
          <w:tcPr>
            <w:tcW w:w="5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一般公共预算</w:t>
            </w:r>
          </w:p>
        </w:tc>
        <w:tc>
          <w:tcPr>
            <w:tcW w:w="6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8"/>
                <w:sz w:val="16"/>
              </w:rPr>
              <w:t>438.35</w:t>
            </w:r>
          </w:p>
        </w:tc>
        <w:tc>
          <w:tcPr>
            <w:tcW w:w="28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 外交支出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r>
              <w:rPr>
                <w:rFonts w:hint="eastAsia" w:ascii="仿宋" w:hAnsi="仿宋" w:eastAsia="仿宋" w:cs="仿宋"/>
                <w:position w:val="8"/>
                <w:sz w:val="20"/>
                <w:lang w:eastAsia="zh-CN"/>
              </w:rPr>
              <w:t>政府</w:t>
            </w:r>
            <w:r>
              <w:rPr>
                <w:rFonts w:ascii="仿宋" w:hAnsi="仿宋" w:eastAsia="仿宋" w:cs="仿宋"/>
                <w:position w:val="8"/>
                <w:sz w:val="20"/>
              </w:rPr>
              <w:t>性基金预算</w:t>
            </w:r>
          </w:p>
        </w:tc>
        <w:tc>
          <w:tcPr>
            <w:tcW w:w="6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8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 国防支出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国有资本经营预算</w:t>
            </w:r>
          </w:p>
        </w:tc>
        <w:tc>
          <w:tcPr>
            <w:tcW w:w="6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8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 公共安全支出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8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 教育支出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8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 科学技术支出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8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 文化旅游体育与传媒支出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425" w:hRule="atLeast"/>
        </w:trPr>
        <w:tc>
          <w:tcPr>
            <w:tcW w:w="23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8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 社会保障和就业支出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22.22</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22.22</w:t>
            </w:r>
          </w:p>
        </w:tc>
        <w:tc>
          <w:tcPr>
            <w:tcW w:w="5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8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 社会保险基金支出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8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 卫生健康支出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8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 节能环保支出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8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 城乡社区支出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414.13</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414.13</w:t>
            </w:r>
          </w:p>
        </w:tc>
        <w:tc>
          <w:tcPr>
            <w:tcW w:w="5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8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 农林水支出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8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 交通运输支出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8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 资源勘探工业信息等支出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8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 商业服务业等支出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8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 金融支出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8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 援助其他地区支出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8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 自然资源海洋气象等支出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8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 住房保障支出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8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 粮油物资储备支出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8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 国有资本经营预算支出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8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 灾害防治及应急管理支出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8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 预备费</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8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 其他支出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8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 转移性支出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6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8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 债务还本支出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8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 债务付息支出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8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 债务发行费用支出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8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 抗疫特别国债安排的支出</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5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  入  总  计</w:t>
            </w:r>
          </w:p>
        </w:tc>
        <w:tc>
          <w:tcPr>
            <w:tcW w:w="6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438.35</w:t>
            </w:r>
          </w:p>
        </w:tc>
        <w:tc>
          <w:tcPr>
            <w:tcW w:w="287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  出  总  计</w:t>
            </w:r>
          </w:p>
        </w:tc>
        <w:tc>
          <w:tcPr>
            <w:tcW w:w="6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438.35</w:t>
            </w:r>
          </w:p>
        </w:tc>
        <w:tc>
          <w:tcPr>
            <w:tcW w:w="57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438.35</w:t>
            </w:r>
          </w:p>
        </w:tc>
        <w:tc>
          <w:tcPr>
            <w:tcW w:w="51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76"/>
        <w:gridCol w:w="438"/>
        <w:gridCol w:w="666"/>
        <w:gridCol w:w="1680"/>
        <w:gridCol w:w="840"/>
        <w:gridCol w:w="2520"/>
        <w:gridCol w:w="16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一般公共预算支出情况表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5"/>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：皮山县新城区街道办事处</w:t>
            </w:r>
          </w:p>
        </w:tc>
        <w:tc>
          <w:tcPr>
            <w:tcW w:w="4200" w:type="dxa"/>
            <w:gridSpan w:val="2"/>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66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680" w:type="dxa"/>
          </w:tcPr>
          <w:p/>
        </w:tc>
        <w:tc>
          <w:tcPr>
            <w:tcW w:w="840" w:type="dxa"/>
          </w:tcPr>
          <w:p/>
        </w:tc>
        <w:tc>
          <w:tcPr>
            <w:tcW w:w="2520" w:type="dxa"/>
          </w:tcPr>
          <w:p/>
        </w:tc>
        <w:tc>
          <w:tcPr>
            <w:tcW w:w="168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6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66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统战事务</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66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宗教事务</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6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22.22</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22.22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66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22.22</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22.22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66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14.81</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14.81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66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7.41</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7.41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w:t>
            </w: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6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城乡社区支出</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414.13</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414.13</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w:t>
            </w: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66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城乡社区管理事务</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414.13</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414.13</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w:t>
            </w: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66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行政运行</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414.13</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414.13</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6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438.35</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436.35</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r>
    </w:tbl>
    <w:p>
      <w:r>
        <w:br w:type="textWrapping"/>
      </w:r>
      <w:r>
        <w:br w:type="textWrapping"/>
      </w:r>
      <w:r>
        <w:br w:type="textWrapping"/>
      </w:r>
      <w:r>
        <w:br w:type="textWrapping"/>
      </w:r>
      <w:r>
        <w:br w:type="textWrapping"/>
      </w:r>
      <w:r>
        <w:br w:type="textWrapping"/>
      </w:r>
      <w:r>
        <w:br w:type="textWrapping"/>
      </w:r>
    </w:p>
    <w:p/>
    <w:p>
      <w:r>
        <w:br w:type="textWrapping"/>
      </w:r>
    </w:p>
    <w:p>
      <w:r>
        <w:br w:type="textWrapping"/>
      </w:r>
      <w:r>
        <w:br w:type="textWrapping"/>
      </w:r>
      <w:r>
        <w:br w:type="textWrapping"/>
      </w:r>
      <w:r>
        <w:br w:type="textWrapping"/>
      </w:r>
    </w:p>
    <w:p/>
    <w:p/>
    <w:p/>
    <w:p/>
    <w:p>
      <w:r>
        <w:br w:type="textWrapping"/>
      </w:r>
      <w:r>
        <w:br w:type="textWrapping"/>
      </w:r>
    </w:p>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864"/>
        <w:gridCol w:w="816"/>
        <w:gridCol w:w="1680"/>
        <w:gridCol w:w="1680"/>
        <w:gridCol w:w="1680"/>
        <w:gridCol w:w="16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ind w:left="150"/>
              <w:jc w:val="left"/>
            </w:pPr>
            <w:r>
              <w:rPr>
                <w:rFonts w:ascii="仿宋" w:hAnsi="仿宋" w:eastAsia="仿宋" w:cs="仿宋"/>
                <w:position w:val="8"/>
                <w:sz w:val="20"/>
              </w:rPr>
              <w:t>表6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ind w:left="150"/>
              <w:jc w:val="center"/>
            </w:pPr>
            <w:r>
              <w:rPr>
                <w:rFonts w:ascii="黑体" w:hAnsi="黑体" w:eastAsia="黑体" w:cs="黑体"/>
                <w:position w:val="15"/>
                <w:sz w:val="28"/>
              </w:rPr>
              <w:t>一般公共预算基本支出情况表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60" w:type="dxa"/>
            <w:gridSpan w:val="3"/>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：皮山县新城区街道办事处</w:t>
            </w:r>
          </w:p>
        </w:tc>
        <w:tc>
          <w:tcPr>
            <w:tcW w:w="5040"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6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504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一般公共预算基本支出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经济分类科目编码</w:t>
            </w:r>
          </w:p>
        </w:tc>
        <w:tc>
          <w:tcPr>
            <w:tcW w:w="168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经济分类科目名称</w:t>
            </w:r>
          </w:p>
        </w:tc>
        <w:tc>
          <w:tcPr>
            <w:tcW w:w="168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68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人员经费</w:t>
            </w:r>
          </w:p>
        </w:tc>
        <w:tc>
          <w:tcPr>
            <w:tcW w:w="168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公用经费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81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680" w:type="dxa"/>
          </w:tcPr>
          <w:p/>
        </w:tc>
        <w:tc>
          <w:tcPr>
            <w:tcW w:w="1680" w:type="dxa"/>
          </w:tcPr>
          <w:p/>
        </w:tc>
        <w:tc>
          <w:tcPr>
            <w:tcW w:w="1680" w:type="dxa"/>
          </w:tcPr>
          <w:p/>
        </w:tc>
        <w:tc>
          <w:tcPr>
            <w:tcW w:w="168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工资福利支出</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415.50</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415.50</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基本工资</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36.63</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36.63</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津贴补贴</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55.73</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55.73</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奖金</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11.02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11.02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14.81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14.81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职业年金缴费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7.41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7.41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城镇职工基本医疗保险缴费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6.02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公务员医疗补助缴费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10.25</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10.25</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其他社会保障缴费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0.37</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0.37</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住房公积金</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11.11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11.11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其他工资福利支出</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262.15</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262.15</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8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商品和服务支出</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20.84</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20.84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8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办公费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8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取暖费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17.64</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17.64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8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对个人和家庭的补助支出</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0.01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0.01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8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奖励金</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0.01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0.01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1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436.35</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415.51</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20.84</w:t>
            </w:r>
          </w:p>
        </w:tc>
      </w:tr>
    </w:tbl>
    <w:p>
      <w:r>
        <w:br w:type="textWrapping"/>
      </w:r>
    </w:p>
    <w:p/>
    <w:p/>
    <w:p>
      <w:r>
        <w:br w:type="textWrapping"/>
      </w:r>
    </w:p>
    <w:p>
      <w:r>
        <w:br w:type="textWrapping"/>
      </w:r>
      <w:r>
        <w:br w:type="textWrapping"/>
      </w:r>
      <w:r>
        <w:br w:type="textWrapping"/>
      </w:r>
    </w:p>
    <w:p>
      <w:r>
        <w:br w:type="textWrapping"/>
      </w:r>
    </w:p>
    <w:p/>
    <w:p/>
    <w:p/>
    <w:p>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51"/>
        <w:gridCol w:w="249"/>
        <w:gridCol w:w="276"/>
        <w:gridCol w:w="324"/>
        <w:gridCol w:w="801"/>
        <w:gridCol w:w="399"/>
        <w:gridCol w:w="600"/>
        <w:gridCol w:w="600"/>
        <w:gridCol w:w="476"/>
        <w:gridCol w:w="724"/>
        <w:gridCol w:w="600"/>
        <w:gridCol w:w="600"/>
        <w:gridCol w:w="600"/>
        <w:gridCol w:w="600"/>
        <w:gridCol w:w="600"/>
        <w:gridCol w:w="6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left"/>
            </w:pPr>
            <w:r>
              <w:rPr>
                <w:rFonts w:ascii="仿宋" w:hAnsi="仿宋" w:eastAsia="仿宋" w:cs="仿宋"/>
                <w:position w:val="8"/>
                <w:sz w:val="20"/>
              </w:rPr>
              <w:t>表7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center"/>
            </w:pPr>
            <w:r>
              <w:rPr>
                <w:rFonts w:ascii="黑体" w:hAnsi="黑体" w:eastAsia="黑体" w:cs="黑体"/>
                <w:position w:val="15"/>
                <w:sz w:val="28"/>
              </w:rPr>
              <w:t>一般公共预算项目支出情况表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00" w:type="dxa"/>
            <w:gridSpan w:val="8"/>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：皮山县新城区街道办事处</w:t>
            </w:r>
          </w:p>
        </w:tc>
        <w:tc>
          <w:tcPr>
            <w:tcW w:w="4800" w:type="dxa"/>
            <w:gridSpan w:val="8"/>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科目编码</w:t>
            </w:r>
          </w:p>
        </w:tc>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科目名称</w:t>
            </w:r>
          </w:p>
        </w:tc>
        <w:tc>
          <w:tcPr>
            <w:tcW w:w="80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项目名称</w:t>
            </w:r>
          </w:p>
        </w:tc>
        <w:tc>
          <w:tcPr>
            <w:tcW w:w="3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项目支出合计</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工资福利支出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商品和服务支出</w:t>
            </w:r>
          </w:p>
        </w:tc>
        <w:tc>
          <w:tcPr>
            <w:tcW w:w="47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对个人和家庭的补助</w:t>
            </w:r>
          </w:p>
        </w:tc>
        <w:tc>
          <w:tcPr>
            <w:tcW w:w="72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债务利息及费用支出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资本性支出（基本建设）</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对企业补助（基本建设）</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对社会保障基金补助</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其他支出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2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27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324" w:type="dxa"/>
          </w:tcPr>
          <w:p/>
        </w:tc>
        <w:tc>
          <w:tcPr>
            <w:tcW w:w="801" w:type="dxa"/>
          </w:tcPr>
          <w:p/>
        </w:tc>
        <w:tc>
          <w:tcPr>
            <w:tcW w:w="399" w:type="dxa"/>
          </w:tcPr>
          <w:p/>
        </w:tc>
        <w:tc>
          <w:tcPr>
            <w:tcW w:w="600" w:type="dxa"/>
          </w:tcPr>
          <w:p/>
        </w:tc>
        <w:tc>
          <w:tcPr>
            <w:tcW w:w="600" w:type="dxa"/>
          </w:tcPr>
          <w:p/>
        </w:tc>
        <w:tc>
          <w:tcPr>
            <w:tcW w:w="476" w:type="dxa"/>
          </w:tcPr>
          <w:p/>
        </w:tc>
        <w:tc>
          <w:tcPr>
            <w:tcW w:w="724" w:type="dxa"/>
          </w:tcPr>
          <w:p/>
        </w:tc>
        <w:tc>
          <w:tcPr>
            <w:tcW w:w="600" w:type="dxa"/>
          </w:tcPr>
          <w:p/>
        </w:tc>
        <w:tc>
          <w:tcPr>
            <w:tcW w:w="600" w:type="dxa"/>
          </w:tcPr>
          <w:p/>
        </w:tc>
        <w:tc>
          <w:tcPr>
            <w:tcW w:w="600" w:type="dxa"/>
          </w:tcPr>
          <w:p/>
        </w:tc>
        <w:tc>
          <w:tcPr>
            <w:tcW w:w="600" w:type="dxa"/>
          </w:tcPr>
          <w:p/>
        </w:tc>
        <w:tc>
          <w:tcPr>
            <w:tcW w:w="600" w:type="dxa"/>
          </w:tcPr>
          <w:p/>
        </w:tc>
        <w:tc>
          <w:tcPr>
            <w:tcW w:w="6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2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7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8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9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c>
          <w:tcPr>
            <w:tcW w:w="4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2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2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27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统战事务</w:t>
            </w:r>
          </w:p>
        </w:tc>
        <w:tc>
          <w:tcPr>
            <w:tcW w:w="8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9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c>
          <w:tcPr>
            <w:tcW w:w="4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2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2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34</w:t>
            </w:r>
          </w:p>
        </w:tc>
        <w:tc>
          <w:tcPr>
            <w:tcW w:w="27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3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宗教事务</w:t>
            </w:r>
          </w:p>
        </w:tc>
        <w:tc>
          <w:tcPr>
            <w:tcW w:w="8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2023年自治区</w:t>
            </w:r>
            <w:r>
              <w:rPr>
                <w:rFonts w:hint="eastAsia" w:ascii="仿宋" w:hAnsi="仿宋" w:eastAsia="仿宋" w:cs="仿宋"/>
                <w:position w:val="8"/>
                <w:sz w:val="20"/>
                <w:lang w:eastAsia="zh-CN"/>
              </w:rPr>
              <w:t>驻村工作人员工作经费</w:t>
            </w:r>
            <w:r>
              <w:rPr>
                <w:rFonts w:ascii="仿宋" w:hAnsi="仿宋" w:eastAsia="仿宋" w:cs="仿宋"/>
                <w:position w:val="8"/>
                <w:sz w:val="20"/>
              </w:rPr>
              <w:t>委员会工作及人员经费的通知-和地财行</w:t>
            </w:r>
            <w:r>
              <w:rPr>
                <w:rFonts w:hint="eastAsia" w:ascii="仿宋" w:hAnsi="仿宋" w:eastAsia="仿宋" w:cs="仿宋"/>
                <w:position w:val="8"/>
                <w:sz w:val="20"/>
                <w:lang w:val="en-US" w:eastAsia="zh-CN"/>
              </w:rPr>
              <w:t>〔2022〕</w:t>
            </w:r>
            <w:r>
              <w:rPr>
                <w:rFonts w:ascii="仿宋" w:hAnsi="仿宋" w:eastAsia="仿宋" w:cs="仿宋"/>
                <w:position w:val="8"/>
                <w:sz w:val="20"/>
              </w:rPr>
              <w:t>64号</w:t>
            </w:r>
          </w:p>
        </w:tc>
        <w:tc>
          <w:tcPr>
            <w:tcW w:w="39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c>
          <w:tcPr>
            <w:tcW w:w="4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2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5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4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76"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2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39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2.00</w:t>
            </w:r>
          </w:p>
        </w:tc>
        <w:tc>
          <w:tcPr>
            <w:tcW w:w="47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72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00"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r>
        <w:br w:type="textWrapping"/>
      </w:r>
      <w:r>
        <w:br w:type="textWrapping"/>
      </w:r>
      <w:r>
        <w:br w:type="textWrapping"/>
      </w:r>
      <w:r>
        <w:br w:type="textWrapping"/>
      </w:r>
      <w:r>
        <w:br w:type="textWrapping"/>
      </w:r>
      <w:r>
        <w:br w:type="textWrapping"/>
      </w:r>
    </w:p>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701"/>
        <w:gridCol w:w="979"/>
        <w:gridCol w:w="1680"/>
        <w:gridCol w:w="840"/>
        <w:gridCol w:w="840"/>
        <w:gridCol w:w="1680"/>
        <w:gridCol w:w="16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pPr>
            <w:r>
              <w:rPr>
                <w:rFonts w:hint="eastAsia" w:ascii="黑体" w:hAnsi="黑体" w:eastAsia="黑体" w:cs="黑体"/>
                <w:position w:val="15"/>
                <w:sz w:val="28"/>
                <w:lang w:eastAsia="zh-CN"/>
              </w:rPr>
              <w:t>政府</w:t>
            </w:r>
            <w:r>
              <w:rPr>
                <w:rFonts w:ascii="黑体" w:hAnsi="黑体" w:eastAsia="黑体" w:cs="黑体"/>
                <w:position w:val="15"/>
                <w:sz w:val="28"/>
              </w:rPr>
              <w:t>性基金预算支出情况表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：皮山县新城区街道办事处</w:t>
            </w:r>
          </w:p>
        </w:tc>
        <w:tc>
          <w:tcPr>
            <w:tcW w:w="4200"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hint="eastAsia" w:ascii="黑体" w:hAnsi="黑体" w:eastAsia="黑体" w:cs="黑体"/>
                <w:position w:val="10"/>
                <w:sz w:val="20"/>
                <w:lang w:eastAsia="zh-CN"/>
              </w:rPr>
              <w:t>政府</w:t>
            </w:r>
            <w:r>
              <w:rPr>
                <w:rFonts w:ascii="黑体" w:hAnsi="黑体" w:eastAsia="黑体" w:cs="黑体"/>
                <w:position w:val="10"/>
                <w:sz w:val="20"/>
              </w:rPr>
              <w:t>性基金预算支出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68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0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840" w:type="dxa"/>
          </w:tcPr>
          <w:p/>
        </w:tc>
        <w:tc>
          <w:tcPr>
            <w:tcW w:w="840" w:type="dxa"/>
          </w:tcPr>
          <w:p/>
        </w:tc>
        <w:tc>
          <w:tcPr>
            <w:tcW w:w="1680" w:type="dxa"/>
          </w:tcPr>
          <w:p/>
        </w:tc>
        <w:tc>
          <w:tcPr>
            <w:tcW w:w="168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0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97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01" w:type="dxa"/>
          </w:tcPr>
          <w:p/>
        </w:tc>
        <w:tc>
          <w:tcPr>
            <w:tcW w:w="979" w:type="dxa"/>
          </w:tcPr>
          <w:p/>
        </w:tc>
        <w:tc>
          <w:tcPr>
            <w:tcW w:w="1680" w:type="dxa"/>
          </w:tcPr>
          <w:p/>
        </w:tc>
        <w:tc>
          <w:tcPr>
            <w:tcW w:w="840" w:type="dxa"/>
          </w:tcPr>
          <w:p/>
        </w:tc>
        <w:tc>
          <w:tcPr>
            <w:tcW w:w="840" w:type="dxa"/>
          </w:tcPr>
          <w:p/>
        </w:tc>
        <w:tc>
          <w:tcPr>
            <w:tcW w:w="1680" w:type="dxa"/>
          </w:tcPr>
          <w:p/>
        </w:tc>
        <w:tc>
          <w:tcPr>
            <w:tcW w:w="168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01" w:type="dxa"/>
          </w:tcPr>
          <w:p/>
        </w:tc>
        <w:tc>
          <w:tcPr>
            <w:tcW w:w="979" w:type="dxa"/>
          </w:tcPr>
          <w:p/>
        </w:tc>
        <w:tc>
          <w:tcPr>
            <w:tcW w:w="1680" w:type="dxa"/>
          </w:tcPr>
          <w:p/>
        </w:tc>
        <w:tc>
          <w:tcPr>
            <w:tcW w:w="840" w:type="dxa"/>
          </w:tcPr>
          <w:p/>
        </w:tc>
        <w:tc>
          <w:tcPr>
            <w:tcW w:w="840" w:type="dxa"/>
          </w:tcPr>
          <w:p/>
        </w:tc>
        <w:tc>
          <w:tcPr>
            <w:tcW w:w="1680" w:type="dxa"/>
          </w:tcPr>
          <w:p/>
        </w:tc>
        <w:tc>
          <w:tcPr>
            <w:tcW w:w="168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01" w:type="dxa"/>
          </w:tcPr>
          <w:p/>
        </w:tc>
        <w:tc>
          <w:tcPr>
            <w:tcW w:w="979" w:type="dxa"/>
          </w:tcPr>
          <w:p/>
        </w:tc>
        <w:tc>
          <w:tcPr>
            <w:tcW w:w="1680" w:type="dxa"/>
          </w:tcPr>
          <w:p/>
        </w:tc>
        <w:tc>
          <w:tcPr>
            <w:tcW w:w="840" w:type="dxa"/>
          </w:tcPr>
          <w:p/>
        </w:tc>
        <w:tc>
          <w:tcPr>
            <w:tcW w:w="840" w:type="dxa"/>
          </w:tcPr>
          <w:p/>
        </w:tc>
        <w:tc>
          <w:tcPr>
            <w:tcW w:w="1680" w:type="dxa"/>
          </w:tcPr>
          <w:p/>
        </w:tc>
        <w:tc>
          <w:tcPr>
            <w:tcW w:w="168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01" w:type="dxa"/>
          </w:tcPr>
          <w:p/>
        </w:tc>
        <w:tc>
          <w:tcPr>
            <w:tcW w:w="979" w:type="dxa"/>
          </w:tcPr>
          <w:p/>
        </w:tc>
        <w:tc>
          <w:tcPr>
            <w:tcW w:w="1680" w:type="dxa"/>
          </w:tcPr>
          <w:p/>
        </w:tc>
        <w:tc>
          <w:tcPr>
            <w:tcW w:w="840" w:type="dxa"/>
          </w:tcPr>
          <w:p/>
        </w:tc>
        <w:tc>
          <w:tcPr>
            <w:tcW w:w="840" w:type="dxa"/>
          </w:tcPr>
          <w:p/>
        </w:tc>
        <w:tc>
          <w:tcPr>
            <w:tcW w:w="1680" w:type="dxa"/>
          </w:tcPr>
          <w:p/>
        </w:tc>
        <w:tc>
          <w:tcPr>
            <w:tcW w:w="168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01" w:type="dxa"/>
          </w:tcPr>
          <w:p/>
        </w:tc>
        <w:tc>
          <w:tcPr>
            <w:tcW w:w="979" w:type="dxa"/>
          </w:tcPr>
          <w:p/>
        </w:tc>
        <w:tc>
          <w:tcPr>
            <w:tcW w:w="1680" w:type="dxa"/>
          </w:tcPr>
          <w:p/>
        </w:tc>
        <w:tc>
          <w:tcPr>
            <w:tcW w:w="840" w:type="dxa"/>
          </w:tcPr>
          <w:p/>
        </w:tc>
        <w:tc>
          <w:tcPr>
            <w:tcW w:w="840" w:type="dxa"/>
          </w:tcPr>
          <w:p/>
        </w:tc>
        <w:tc>
          <w:tcPr>
            <w:tcW w:w="1680" w:type="dxa"/>
          </w:tcPr>
          <w:p/>
        </w:tc>
        <w:tc>
          <w:tcPr>
            <w:tcW w:w="168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left w:val="nil"/>
              <w:bottom w:val="nil"/>
              <w:right w:val="nil"/>
            </w:tcBorders>
            <w:vAlign w:val="center"/>
          </w:tcPr>
          <w:p>
            <w:pPr>
              <w:ind w:left="150"/>
              <w:jc w:val="left"/>
            </w:pPr>
            <w:r>
              <w:rPr>
                <w:rFonts w:ascii="仿宋" w:hAnsi="仿宋" w:eastAsia="仿宋" w:cs="仿宋"/>
                <w:position w:val="8"/>
                <w:sz w:val="20"/>
              </w:rPr>
              <w:t>皮山县新城区街道办事处2023年没有使用</w:t>
            </w:r>
            <w:r>
              <w:rPr>
                <w:rFonts w:hint="eastAsia" w:ascii="仿宋" w:hAnsi="仿宋" w:eastAsia="仿宋" w:cs="仿宋"/>
                <w:position w:val="8"/>
                <w:sz w:val="20"/>
                <w:lang w:eastAsia="zh-CN"/>
              </w:rPr>
              <w:t>政府</w:t>
            </w:r>
            <w:r>
              <w:rPr>
                <w:rFonts w:ascii="仿宋" w:hAnsi="仿宋" w:eastAsia="仿宋" w:cs="仿宋"/>
                <w:position w:val="8"/>
                <w:sz w:val="20"/>
              </w:rPr>
              <w:t>性基金预算拨款安排的支出，</w:t>
            </w:r>
            <w:r>
              <w:rPr>
                <w:rFonts w:hint="eastAsia" w:ascii="仿宋" w:hAnsi="仿宋" w:eastAsia="仿宋" w:cs="仿宋"/>
                <w:position w:val="8"/>
                <w:sz w:val="20"/>
                <w:lang w:eastAsia="zh-CN"/>
              </w:rPr>
              <w:t>政府</w:t>
            </w:r>
            <w:r>
              <w:rPr>
                <w:rFonts w:ascii="仿宋" w:hAnsi="仿宋" w:eastAsia="仿宋" w:cs="仿宋"/>
                <w:position w:val="8"/>
                <w:sz w:val="20"/>
              </w:rPr>
              <w:t>性基金预算支出情况表为空表。</w:t>
            </w:r>
          </w:p>
        </w:tc>
      </w:tr>
    </w:tbl>
    <w:p/>
    <w:p>
      <w:r>
        <w:br w:type="textWrapping"/>
      </w:r>
      <w:r>
        <w:br w:type="textWrapping"/>
      </w:r>
    </w:p>
    <w:p/>
    <w:p/>
    <w:p/>
    <w:p>
      <w:r>
        <w:br w:type="textWrapping"/>
      </w:r>
    </w:p>
    <w:p>
      <w:r>
        <w:br w:type="textWrapping"/>
      </w:r>
    </w:p>
    <w:p/>
    <w:p>
      <w:r>
        <w:br w:type="textWrapping"/>
      </w:r>
    </w:p>
    <w:p/>
    <w:p/>
    <w:p/>
    <w:p/>
    <w:p>
      <w:r>
        <w:br w:type="textWrapping"/>
      </w:r>
    </w:p>
    <w:p/>
    <w:p/>
    <w:p/>
    <w:p/>
    <w:p/>
    <w:p>
      <w:r>
        <w:br w:type="textWrapping"/>
      </w:r>
      <w:r>
        <w:br w:type="textWrapping"/>
      </w:r>
      <w:r>
        <w:br w:type="textWrapping"/>
      </w:r>
    </w:p>
    <w:p>
      <w:r>
        <w:br w:type="textWrapping"/>
      </w:r>
      <w:r>
        <w:br w:type="textWrapping"/>
      </w:r>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689"/>
        <w:gridCol w:w="991"/>
        <w:gridCol w:w="1680"/>
        <w:gridCol w:w="840"/>
        <w:gridCol w:w="976"/>
        <w:gridCol w:w="1544"/>
        <w:gridCol w:w="16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国有资本经营预算支出情况表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：皮山县新城区街道办事处</w:t>
            </w:r>
          </w:p>
        </w:tc>
        <w:tc>
          <w:tcPr>
            <w:tcW w:w="4200"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252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8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99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840" w:type="dxa"/>
          </w:tcPr>
          <w:p/>
        </w:tc>
        <w:tc>
          <w:tcPr>
            <w:tcW w:w="976" w:type="dxa"/>
          </w:tcPr>
          <w:p/>
        </w:tc>
        <w:tc>
          <w:tcPr>
            <w:tcW w:w="1544" w:type="dxa"/>
          </w:tcPr>
          <w:p/>
        </w:tc>
        <w:tc>
          <w:tcPr>
            <w:tcW w:w="168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8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99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97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54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89" w:type="dxa"/>
          </w:tcPr>
          <w:p/>
        </w:tc>
        <w:tc>
          <w:tcPr>
            <w:tcW w:w="991" w:type="dxa"/>
          </w:tcPr>
          <w:p/>
        </w:tc>
        <w:tc>
          <w:tcPr>
            <w:tcW w:w="1680" w:type="dxa"/>
          </w:tcPr>
          <w:p/>
        </w:tc>
        <w:tc>
          <w:tcPr>
            <w:tcW w:w="840" w:type="dxa"/>
          </w:tcPr>
          <w:p/>
        </w:tc>
        <w:tc>
          <w:tcPr>
            <w:tcW w:w="976" w:type="dxa"/>
          </w:tcPr>
          <w:p/>
        </w:tc>
        <w:tc>
          <w:tcPr>
            <w:tcW w:w="1544" w:type="dxa"/>
          </w:tcPr>
          <w:p/>
        </w:tc>
        <w:tc>
          <w:tcPr>
            <w:tcW w:w="168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89" w:type="dxa"/>
          </w:tcPr>
          <w:p/>
        </w:tc>
        <w:tc>
          <w:tcPr>
            <w:tcW w:w="991" w:type="dxa"/>
          </w:tcPr>
          <w:p/>
        </w:tc>
        <w:tc>
          <w:tcPr>
            <w:tcW w:w="1680" w:type="dxa"/>
          </w:tcPr>
          <w:p/>
        </w:tc>
        <w:tc>
          <w:tcPr>
            <w:tcW w:w="840" w:type="dxa"/>
          </w:tcPr>
          <w:p/>
        </w:tc>
        <w:tc>
          <w:tcPr>
            <w:tcW w:w="976" w:type="dxa"/>
          </w:tcPr>
          <w:p/>
        </w:tc>
        <w:tc>
          <w:tcPr>
            <w:tcW w:w="1544" w:type="dxa"/>
          </w:tcPr>
          <w:p/>
        </w:tc>
        <w:tc>
          <w:tcPr>
            <w:tcW w:w="168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89" w:type="dxa"/>
          </w:tcPr>
          <w:p/>
        </w:tc>
        <w:tc>
          <w:tcPr>
            <w:tcW w:w="991" w:type="dxa"/>
          </w:tcPr>
          <w:p/>
        </w:tc>
        <w:tc>
          <w:tcPr>
            <w:tcW w:w="1680" w:type="dxa"/>
          </w:tcPr>
          <w:p/>
        </w:tc>
        <w:tc>
          <w:tcPr>
            <w:tcW w:w="840" w:type="dxa"/>
          </w:tcPr>
          <w:p/>
        </w:tc>
        <w:tc>
          <w:tcPr>
            <w:tcW w:w="976" w:type="dxa"/>
          </w:tcPr>
          <w:p/>
        </w:tc>
        <w:tc>
          <w:tcPr>
            <w:tcW w:w="1544" w:type="dxa"/>
          </w:tcPr>
          <w:p/>
        </w:tc>
        <w:tc>
          <w:tcPr>
            <w:tcW w:w="168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89" w:type="dxa"/>
          </w:tcPr>
          <w:p/>
        </w:tc>
        <w:tc>
          <w:tcPr>
            <w:tcW w:w="991" w:type="dxa"/>
          </w:tcPr>
          <w:p/>
        </w:tc>
        <w:tc>
          <w:tcPr>
            <w:tcW w:w="1680" w:type="dxa"/>
          </w:tcPr>
          <w:p/>
        </w:tc>
        <w:tc>
          <w:tcPr>
            <w:tcW w:w="840" w:type="dxa"/>
          </w:tcPr>
          <w:p/>
        </w:tc>
        <w:tc>
          <w:tcPr>
            <w:tcW w:w="976" w:type="dxa"/>
          </w:tcPr>
          <w:p/>
        </w:tc>
        <w:tc>
          <w:tcPr>
            <w:tcW w:w="1544" w:type="dxa"/>
          </w:tcPr>
          <w:p/>
        </w:tc>
        <w:tc>
          <w:tcPr>
            <w:tcW w:w="168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89" w:type="dxa"/>
          </w:tcPr>
          <w:p/>
        </w:tc>
        <w:tc>
          <w:tcPr>
            <w:tcW w:w="991" w:type="dxa"/>
          </w:tcPr>
          <w:p/>
        </w:tc>
        <w:tc>
          <w:tcPr>
            <w:tcW w:w="1680" w:type="dxa"/>
          </w:tcPr>
          <w:p/>
        </w:tc>
        <w:tc>
          <w:tcPr>
            <w:tcW w:w="840" w:type="dxa"/>
          </w:tcPr>
          <w:p/>
        </w:tc>
        <w:tc>
          <w:tcPr>
            <w:tcW w:w="976" w:type="dxa"/>
          </w:tcPr>
          <w:p/>
        </w:tc>
        <w:tc>
          <w:tcPr>
            <w:tcW w:w="1544" w:type="dxa"/>
          </w:tcPr>
          <w:p/>
        </w:tc>
        <w:tc>
          <w:tcPr>
            <w:tcW w:w="168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left w:val="nil"/>
              <w:bottom w:val="nil"/>
              <w:right w:val="nil"/>
            </w:tcBorders>
            <w:vAlign w:val="center"/>
          </w:tcPr>
          <w:p>
            <w:pPr>
              <w:ind w:left="150"/>
              <w:jc w:val="left"/>
            </w:pPr>
            <w:r>
              <w:rPr>
                <w:rFonts w:ascii="仿宋" w:hAnsi="仿宋" w:eastAsia="仿宋" w:cs="仿宋"/>
                <w:position w:val="8"/>
                <w:sz w:val="20"/>
              </w:rPr>
              <w:t>皮山县新城区街道办事处2023年没有安排国有资本经营预算的支出，国有资本经营预算支出情况表为空表。</w:t>
            </w:r>
          </w:p>
        </w:tc>
      </w:tr>
    </w:tbl>
    <w:p/>
    <w:p>
      <w:r>
        <w:br w:type="textWrapping"/>
      </w:r>
      <w:r>
        <w:br w:type="textWrapping"/>
      </w:r>
      <w:r>
        <w:br w:type="textWrapping"/>
      </w:r>
    </w:p>
    <w:p>
      <w:r>
        <w:br w:type="textWrapping"/>
      </w:r>
    </w:p>
    <w:p>
      <w:r>
        <w:br w:type="textWrapping"/>
      </w:r>
      <w:r>
        <w:br w:type="textWrapping"/>
      </w:r>
    </w:p>
    <w:p/>
    <w:p/>
    <w:p/>
    <w:p/>
    <w:p>
      <w:r>
        <w:br w:type="textWrapping"/>
      </w:r>
      <w:r>
        <w:br w:type="textWrapping"/>
      </w:r>
    </w:p>
    <w:p>
      <w:r>
        <w:br w:type="textWrapping"/>
      </w:r>
      <w:r>
        <w:br w:type="textWrapping"/>
      </w:r>
    </w:p>
    <w:p>
      <w:r>
        <w:br w:type="textWrapping"/>
      </w:r>
    </w:p>
    <w:p/>
    <w:p/>
    <w:p>
      <w:r>
        <w:br w:type="textWrapping"/>
      </w:r>
    </w:p>
    <w:p/>
    <w:p/>
    <w:p/>
    <w:p>
      <w:r>
        <w:br w:type="textWrapping"/>
      </w:r>
    </w:p>
    <w:p>
      <w:r>
        <w:br w:type="textWrapping"/>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80"/>
        <w:gridCol w:w="1120"/>
        <w:gridCol w:w="851"/>
        <w:gridCol w:w="549"/>
        <w:gridCol w:w="840"/>
        <w:gridCol w:w="1680"/>
        <w:gridCol w:w="16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财政拨款“三公”经费支出情况表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：皮山县新城区街道办事处</w:t>
            </w:r>
          </w:p>
        </w:tc>
        <w:tc>
          <w:tcPr>
            <w:tcW w:w="4200"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三公支出内容</w:t>
            </w:r>
          </w:p>
        </w:tc>
        <w:tc>
          <w:tcPr>
            <w:tcW w:w="224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336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资金来源</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Pr>
          <w:p/>
        </w:tc>
        <w:tc>
          <w:tcPr>
            <w:tcW w:w="1120" w:type="dxa"/>
          </w:tcPr>
          <w:p/>
        </w:tc>
        <w:tc>
          <w:tcPr>
            <w:tcW w:w="224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hint="eastAsia" w:ascii="黑体" w:hAnsi="黑体" w:eastAsia="黑体" w:cs="黑体"/>
                <w:position w:val="10"/>
                <w:sz w:val="20"/>
                <w:lang w:eastAsia="zh-CN"/>
              </w:rPr>
              <w:t>政府</w:t>
            </w:r>
            <w:r>
              <w:rPr>
                <w:rFonts w:ascii="黑体" w:hAnsi="黑体" w:eastAsia="黑体" w:cs="黑体"/>
                <w:position w:val="10"/>
                <w:sz w:val="20"/>
              </w:rPr>
              <w:t>性基金</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合计</w:t>
            </w:r>
          </w:p>
        </w:tc>
        <w:tc>
          <w:tcPr>
            <w:tcW w:w="85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389"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gridSpan w:val="2"/>
            <w:tcBorders>
              <w:top w:val="single" w:color="auto" w:sz="0" w:space="0"/>
              <w:left w:val="single" w:color="auto" w:sz="0" w:space="0"/>
              <w:bottom w:val="single" w:color="auto" w:sz="0" w:space="0"/>
              <w:right w:val="single" w:color="auto" w:sz="0" w:space="0"/>
            </w:tcBorders>
            <w:vAlign w:val="center"/>
          </w:tcPr>
          <w:p>
            <w:pPr>
              <w:jc w:val="left"/>
            </w:pPr>
            <w:r>
              <w:rPr>
                <w:rFonts w:ascii="仿宋" w:hAnsi="仿宋" w:eastAsia="仿宋" w:cs="仿宋"/>
                <w:position w:val="8"/>
                <w:sz w:val="20"/>
              </w:rPr>
              <w:t xml:space="preserve"> 因公出国(境)费用</w:t>
            </w:r>
          </w:p>
        </w:tc>
        <w:tc>
          <w:tcPr>
            <w:tcW w:w="85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389"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gridSpan w:val="2"/>
            <w:tcBorders>
              <w:top w:val="single" w:color="auto" w:sz="0" w:space="0"/>
              <w:left w:val="single" w:color="auto" w:sz="0" w:space="0"/>
              <w:bottom w:val="single" w:color="auto" w:sz="0" w:space="0"/>
              <w:right w:val="single" w:color="auto" w:sz="0" w:space="0"/>
            </w:tcBorders>
            <w:vAlign w:val="center"/>
          </w:tcPr>
          <w:p>
            <w:pPr>
              <w:jc w:val="left"/>
            </w:pPr>
            <w:r>
              <w:rPr>
                <w:rFonts w:ascii="仿宋" w:hAnsi="仿宋" w:eastAsia="仿宋" w:cs="仿宋"/>
                <w:position w:val="8"/>
                <w:sz w:val="20"/>
              </w:rPr>
              <w:t>公务接待费</w:t>
            </w:r>
          </w:p>
        </w:tc>
        <w:tc>
          <w:tcPr>
            <w:tcW w:w="85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389"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公务用车购置及运行费（小计）</w:t>
            </w:r>
          </w:p>
        </w:tc>
        <w:tc>
          <w:tcPr>
            <w:tcW w:w="85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389"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271" w:hRule="atLeast"/>
        </w:trPr>
        <w:tc>
          <w:tcPr>
            <w:tcW w:w="28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其中：公务用车购置费</w:t>
            </w:r>
          </w:p>
        </w:tc>
        <w:tc>
          <w:tcPr>
            <w:tcW w:w="85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389"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公务用车运行费</w:t>
            </w:r>
          </w:p>
        </w:tc>
        <w:tc>
          <w:tcPr>
            <w:tcW w:w="85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389"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left w:val="nil"/>
              <w:bottom w:val="nil"/>
              <w:right w:val="nil"/>
            </w:tcBorders>
            <w:vAlign w:val="center"/>
          </w:tcPr>
          <w:p>
            <w:pPr>
              <w:ind w:left="150"/>
              <w:jc w:val="left"/>
            </w:pPr>
            <w:r>
              <w:rPr>
                <w:rFonts w:ascii="仿宋" w:hAnsi="仿宋" w:eastAsia="仿宋" w:cs="仿宋"/>
                <w:position w:val="8"/>
                <w:sz w:val="20"/>
              </w:rPr>
              <w:t>皮山县新城区街道办事处2023年没有使用财政拨款“三公”经费安排的支出，财政拨款“三公”经费支出情况表为空表。</w:t>
            </w:r>
          </w:p>
        </w:tc>
      </w:tr>
    </w:tbl>
    <w:p>
      <w:r>
        <w:br w:type="textWrapping"/>
      </w:r>
    </w:p>
    <w:p>
      <w:r>
        <w:br w:type="textWrapping"/>
      </w:r>
      <w:r>
        <w:br w:type="textWrapping"/>
      </w:r>
    </w:p>
    <w:p>
      <w:r>
        <w:br w:type="textWrapping"/>
      </w:r>
    </w:p>
    <w:p>
      <w:r>
        <w:br w:type="textWrapping"/>
      </w:r>
      <w:r>
        <w:br w:type="textWrapping"/>
      </w:r>
      <w:r>
        <w:br w:type="textWrapping"/>
      </w:r>
      <w:r>
        <w:br w:type="textWrapping"/>
      </w:r>
    </w:p>
    <w:p/>
    <w:p/>
    <w:p/>
    <w:p/>
    <w:p/>
    <w:p/>
    <w:p/>
    <w:p/>
    <w:p/>
    <w:p/>
    <w:p/>
    <w:p/>
    <w:p/>
    <w:p/>
    <w:p/>
    <w:p/>
    <w:p>
      <w:r>
        <w:br w:type="textWrapping"/>
      </w:r>
    </w:p>
    <w:p/>
    <w:p>
      <w:pPr>
        <w:ind w:left="200" w:right="200" w:firstLine="500"/>
        <w:jc w:val="center"/>
        <w:rPr>
          <w:rFonts w:hint="eastAsia" w:ascii="黑体" w:hAnsi="黑体" w:eastAsia="黑体" w:cs="Times New Roman"/>
          <w:color w:val="auto"/>
          <w:kern w:val="0"/>
          <w:sz w:val="32"/>
          <w:szCs w:val="32"/>
          <w:highlight w:val="none"/>
          <w:lang w:val="en-US" w:eastAsia="zh-CN" w:bidi="ar-SA"/>
        </w:rPr>
      </w:pPr>
    </w:p>
    <w:p>
      <w:pPr>
        <w:numPr>
          <w:ilvl w:val="0"/>
          <w:numId w:val="1"/>
        </w:numPr>
        <w:ind w:left="200" w:right="200" w:firstLine="500"/>
        <w:jc w:val="center"/>
        <w:rPr>
          <w:rFonts w:hint="eastAsia" w:ascii="黑体" w:hAnsi="黑体" w:eastAsia="黑体" w:cs="Times New Roman"/>
          <w:color w:val="auto"/>
          <w:kern w:val="0"/>
          <w:sz w:val="32"/>
          <w:szCs w:val="32"/>
          <w:highlight w:val="none"/>
          <w:lang w:val="en-US" w:eastAsia="zh-CN" w:bidi="ar-SA"/>
        </w:rPr>
      </w:pPr>
      <w:r>
        <w:rPr>
          <w:rFonts w:hint="eastAsia" w:ascii="黑体" w:hAnsi="黑体" w:eastAsia="黑体" w:cs="Times New Roman"/>
          <w:color w:val="auto"/>
          <w:kern w:val="0"/>
          <w:sz w:val="32"/>
          <w:szCs w:val="32"/>
          <w:highlight w:val="none"/>
          <w:lang w:val="en-US" w:eastAsia="zh-CN" w:bidi="ar-SA"/>
        </w:rPr>
        <w:t>2023年皮山县新城区街道办事处</w:t>
      </w:r>
    </w:p>
    <w:p>
      <w:pPr>
        <w:numPr>
          <w:ilvl w:val="0"/>
          <w:numId w:val="0"/>
        </w:numPr>
        <w:ind w:right="200" w:rightChars="0"/>
        <w:jc w:val="center"/>
        <w:rPr>
          <w:rFonts w:hint="eastAsia" w:ascii="黑体" w:hAnsi="黑体" w:eastAsia="黑体" w:cs="Times New Roman"/>
          <w:color w:val="auto"/>
          <w:kern w:val="0"/>
          <w:sz w:val="32"/>
          <w:szCs w:val="32"/>
          <w:highlight w:val="none"/>
          <w:lang w:val="en-US" w:eastAsia="zh-CN" w:bidi="ar-SA"/>
        </w:rPr>
      </w:pPr>
      <w:r>
        <w:rPr>
          <w:rFonts w:hint="eastAsia" w:ascii="黑体" w:hAnsi="黑体" w:eastAsia="黑体" w:cs="Times New Roman"/>
          <w:color w:val="auto"/>
          <w:kern w:val="0"/>
          <w:sz w:val="32"/>
          <w:szCs w:val="32"/>
          <w:highlight w:val="none"/>
          <w:lang w:val="en-US" w:eastAsia="zh-CN" w:bidi="ar-SA"/>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一、关于皮山县新城区街道办事处2023年收支预算情况的总体说明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按照全口径预算的原则，皮山县新城区街道办事处2023年所有收入和支出均纳入单位预算管理。收支总预算975.27万元。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收入预算包括：一般公共预算、财政拨款。</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支出预算包括：一般公共服务支出、社会保障和就业支出、城乡社区支出、其他支出。</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二、关于皮山县新城区街道办事处2023年收入预算情况说明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皮山县新城区街道办事处收入预算975.27万元，其中：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一般公共预算436.35万元，占44.74%，比上年预算减少78.66万元，下降15.27%，主要原因是今年是以收定支，未纳入特定类项目。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上级一般公共预算安排的转移支付资金2万元，占0.21%，比上年预算增加2.00万元，增长100.00%，主要原因是新增2023年驻村工作人员工作经费人员及工作经费。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国有资本经营预算未安排。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财政拨款结转536.92万元，占55.05%，比上年预算增加536.92万元，增长100.00%，主要原因是2022年做预算时未将上年结转数纳入年初预算，2023年做平衡预算将2022年财政拨款结转536.92万元纳入预算。</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三、关于皮山县新城区街道办事处2023年支出预算情况说明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皮山县新城区街道办事处2023年支出预算975.27万元，其中：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基本支出436.35万元，占44.74%，比上年预算增加250.66万元，增长134.99%，主要原因是上年做的特定类项目，今年做到人员支出里。</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项目支出538.92万元，占55.26%，比上年预算增加209.60万元，增长63.65%，主要原因是结转资金536.92万元，今年新增2万驻村工作人员工作经费人员及工作经费。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四、关于皮山县新城区街道办事处2023年财政拨款收支预算情况的总体说明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2023年财政拨款收支总预算438.35万元。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收入全部为一般公共预算拨款，无县政府性基金预算拨款和国有资本经营预算。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收入预算包括：一般公共预算拨款438.35万元。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一般公共预算支出包括：一般公共服务支出2万元，主要用于驻村工作人员工作经费人员及工作经费。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社会保障和就业支出22.22万元，主要用于在职人员社保和职业年金。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城乡社区支出414.13万元，主要用于临聘人员工资、在职人员工资和办公经费。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五、关于皮山县新城区街道办事处2023年一般公共预算当年拨款情况说明</w:t>
      </w:r>
    </w:p>
    <w:p>
      <w:pPr>
        <w:spacing w:before="150"/>
        <w:ind w:left="200" w:right="200" w:firstLine="500"/>
        <w:jc w:val="both"/>
        <w:rPr>
          <w:rFonts w:hint="eastAsia" w:ascii="楷体_GB2312" w:hAnsi="楷体_GB2312" w:eastAsia="楷体_GB2312" w:cs="楷体_GB2312"/>
          <w:b/>
          <w:bCs w:val="0"/>
          <w:color w:val="auto"/>
          <w:kern w:val="0"/>
          <w:sz w:val="32"/>
          <w:szCs w:val="32"/>
          <w:highlight w:val="none"/>
          <w:lang w:val="en-US" w:eastAsia="zh-CN" w:bidi="ar-SA"/>
        </w:rPr>
      </w:pPr>
      <w:bookmarkStart w:id="0" w:name="_GoBack"/>
      <w:r>
        <w:rPr>
          <w:rFonts w:hint="eastAsia" w:ascii="楷体_GB2312" w:hAnsi="楷体_GB2312" w:eastAsia="楷体_GB2312" w:cs="楷体_GB2312"/>
          <w:b/>
          <w:bCs w:val="0"/>
          <w:color w:val="auto"/>
          <w:kern w:val="0"/>
          <w:sz w:val="32"/>
          <w:szCs w:val="32"/>
          <w:highlight w:val="none"/>
          <w:lang w:val="en-US" w:eastAsia="zh-CN" w:bidi="ar-SA"/>
        </w:rPr>
        <w:t>（一）一般公共预算当年拨款规模变化情况</w:t>
      </w:r>
    </w:p>
    <w:bookmarkEnd w:id="0"/>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皮山县新城区街道办事处2023年一般公共预算拨款合计438.35万元，其中：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基本支出436.35万元，比上年预算增加250.66万元，增长134.99%。主要原因是：增加临聘人员工资项目支出2万元，比上年预算减少0.6万元，下降23.08%。主要原因是：今年驻村工作人员工作经费工作及人员经费减少。</w:t>
      </w:r>
    </w:p>
    <w:p>
      <w:pPr>
        <w:spacing w:before="150"/>
        <w:ind w:left="200" w:right="200" w:firstLine="500"/>
        <w:jc w:val="both"/>
        <w:rPr>
          <w:rFonts w:hint="eastAsia" w:ascii="楷体_GB2312" w:hAnsi="楷体_GB2312" w:eastAsia="楷体_GB2312" w:cs="楷体_GB2312"/>
          <w:b/>
          <w:bCs w:val="0"/>
          <w:color w:val="auto"/>
          <w:kern w:val="0"/>
          <w:sz w:val="32"/>
          <w:szCs w:val="32"/>
          <w:highlight w:val="none"/>
          <w:lang w:val="en-US" w:eastAsia="zh-CN" w:bidi="ar-SA"/>
        </w:rPr>
      </w:pPr>
      <w:r>
        <w:rPr>
          <w:rFonts w:hint="eastAsia" w:ascii="楷体_GB2312" w:hAnsi="楷体_GB2312" w:eastAsia="楷体_GB2312" w:cs="楷体_GB2312"/>
          <w:b/>
          <w:bCs w:val="0"/>
          <w:color w:val="auto"/>
          <w:kern w:val="0"/>
          <w:sz w:val="32"/>
          <w:szCs w:val="32"/>
          <w:highlight w:val="none"/>
          <w:lang w:val="en-US" w:eastAsia="zh-CN" w:bidi="ar-SA"/>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1.一般公共服务支出（类）2万元，占0.46%。</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2.社会保障和就业支出（类）22.22万元，占5.07%。</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3.城乡社区支出（类）414.13万元，占94.47%。</w:t>
      </w:r>
    </w:p>
    <w:p>
      <w:pPr>
        <w:spacing w:before="150"/>
        <w:ind w:left="200" w:right="200" w:firstLine="500"/>
        <w:jc w:val="both"/>
        <w:rPr>
          <w:rFonts w:hint="eastAsia" w:ascii="楷体_GB2312" w:hAnsi="楷体_GB2312" w:eastAsia="楷体_GB2312" w:cs="楷体_GB2312"/>
          <w:b/>
          <w:bCs w:val="0"/>
          <w:color w:val="auto"/>
          <w:kern w:val="0"/>
          <w:sz w:val="32"/>
          <w:szCs w:val="32"/>
          <w:highlight w:val="none"/>
          <w:lang w:val="en-US" w:eastAsia="zh-CN" w:bidi="ar-SA"/>
        </w:rPr>
      </w:pPr>
      <w:r>
        <w:rPr>
          <w:rFonts w:hint="eastAsia" w:ascii="楷体_GB2312" w:hAnsi="楷体_GB2312" w:eastAsia="楷体_GB2312" w:cs="楷体_GB2312"/>
          <w:b/>
          <w:bCs w:val="0"/>
          <w:color w:val="auto"/>
          <w:kern w:val="0"/>
          <w:sz w:val="32"/>
          <w:szCs w:val="32"/>
          <w:highlight w:val="none"/>
          <w:lang w:val="en-US" w:eastAsia="zh-CN" w:bidi="ar-SA"/>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1.一般公共服务支出（类）统战事务（款）宗教事务（项）:2023年预算数为2万元，比上年预算数减少0.6万元，下降23.08%，主要原因是：今年驻村工作人员工作经费工作及人员经费减少。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2.社会保障和就业支出（类）行政事业单位养老支出（款）机关事业单位基本养老保险缴费支出（项）:2023年预算数为14.81万元，比上年预算数增加0.31万元，增长2.14%，主要原因是：社保基数增加。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3.社会保障和就业支出（类）行政事业单位养老支出（款）机关事业单位职业年金缴费支出（项）:2023年预算数为7.41万元，比上年预算数增加0.16万元，增长2.21%，主要原因是：社保基数增加。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4.城乡社区支出（类）城乡社区管理事务（款）行政运行（项）:2023年预算数为414.13万元，比上年预算数增加244.94万元，增长144.77%，主要原因是：增加临聘人员工资。</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六、关于皮山县新城区街道办事处2023年一般公共预算基本支出情况说明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皮山县新城区街道办事处2023年一般公共预算基本支出436.35万元，其中：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人员经费415.51万元，主要包括：基本工资、津贴补贴、奖金、机关事业单位基本养老保险缴费、职业年金缴费、城镇职工基本医疗保险缴费、公务员医疗补助缴费、其他社会保障缴费、住房公积金、其他工资福利支出、奖励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公用经费20.84万元，主要包括：办公费、取暖费。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七、关于皮山县新城区街道办事处2023年一般公共预算项目支出情况说明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目名称：2023年自治区驻村工作人员工作经费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设立依据：和地财行〔2022〕64号</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预算安排规模：2.00万元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项目承担单位：皮山县新城区街道办事处</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资金分配情况：2.00万元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default"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资金执行时间2023年1月1日—2023年12月31日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八、关于皮山县新城区街道办事处2023年政府性基金预算拨款情况说明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皮山县新城区街道办事处2023年没有使用政府性基金预算拨款安排的支出，政府性基金预算支出情况表为空表。</w:t>
      </w:r>
    </w:p>
    <w:p>
      <w:pPr>
        <w:spacing w:before="150"/>
        <w:ind w:left="200" w:right="200" w:firstLine="500"/>
        <w:jc w:val="both"/>
        <w:rPr>
          <w:rFonts w:hint="eastAsia" w:ascii="楷体_GB2312" w:hAnsi="楷体_GB2312" w:eastAsia="楷体_GB2312" w:cs="楷体_GB2312"/>
          <w:b/>
          <w:bCs w:val="0"/>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九、关于皮山县新城区街道办事处2023年国有资本经营</w:t>
      </w:r>
      <w:r>
        <w:rPr>
          <w:rFonts w:hint="eastAsia" w:ascii="黑体" w:hAnsi="黑体" w:eastAsia="黑体" w:cs="黑体"/>
          <w:b w:val="0"/>
          <w:bCs/>
          <w:color w:val="auto"/>
          <w:kern w:val="0"/>
          <w:sz w:val="32"/>
          <w:szCs w:val="32"/>
          <w:highlight w:val="none"/>
          <w:lang w:val="en-US" w:eastAsia="zh-CN" w:bidi="ar-SA"/>
        </w:rPr>
        <w:t>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皮山县新城区街道办事处2023年没有使用国有资本经营预算拨款安排的支出，国有资本经营预算支出情况表为空表。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十、关于皮山县新城区街道办事处2023年财政拨款“三公”经费预算情况说明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皮山县新城区街道办事处2023年财政拨款“三公”经费数为0万元，其中：因公出国（境）费0万元，公务用车购置费0万元，公务用车运行费0万元，公务接待费0万元。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2023年财政拨款“三公”经费比上年预算增加0万元，增长0%，其中：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因公出国（境）费增加0万元，增长0%，主要原因是无“三公”经费。公务用车购置费增加0万元，增长0%，主要原因是无“三公”经费。公务用车运行费增加0万元，增长0%，主要原因是无“三公”经费。公务接待费增加0万元，增长0%，主要原因是无“三公”经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黑体" w:hAnsi="黑体" w:eastAsia="黑体" w:cs="黑体"/>
          <w:b w:val="0"/>
          <w:bCs/>
          <w:color w:val="auto"/>
          <w:kern w:val="0"/>
          <w:sz w:val="32"/>
          <w:szCs w:val="32"/>
          <w:highlight w:val="none"/>
          <w:lang w:val="en-US" w:eastAsia="zh-CN" w:bidi="ar-SA"/>
        </w:rPr>
      </w:pPr>
      <w:r>
        <w:rPr>
          <w:rFonts w:hint="eastAsia" w:ascii="黑体" w:hAnsi="黑体" w:eastAsia="黑体" w:cs="黑体"/>
          <w:b w:val="0"/>
          <w:bCs/>
          <w:color w:val="auto"/>
          <w:kern w:val="0"/>
          <w:sz w:val="32"/>
          <w:szCs w:val="32"/>
          <w:highlight w:val="none"/>
          <w:lang w:val="en-US" w:eastAsia="zh-CN" w:bidi="ar-SA"/>
        </w:rPr>
        <w:t>十一、其他重要事项的情况说明</w:t>
      </w:r>
    </w:p>
    <w:p>
      <w:pPr>
        <w:spacing w:before="150"/>
        <w:ind w:left="200" w:right="200" w:firstLine="500"/>
        <w:jc w:val="both"/>
        <w:rPr>
          <w:rFonts w:hint="eastAsia" w:ascii="楷体_GB2312" w:hAnsi="楷体_GB2312" w:eastAsia="楷体_GB2312" w:cs="楷体_GB2312"/>
          <w:b/>
          <w:bCs w:val="0"/>
          <w:color w:val="auto"/>
          <w:kern w:val="0"/>
          <w:sz w:val="32"/>
          <w:szCs w:val="32"/>
          <w:highlight w:val="none"/>
          <w:lang w:val="en-US" w:eastAsia="zh-CN" w:bidi="ar-SA"/>
        </w:rPr>
      </w:pPr>
      <w:r>
        <w:rPr>
          <w:rFonts w:hint="eastAsia" w:ascii="楷体_GB2312" w:hAnsi="楷体_GB2312" w:eastAsia="楷体_GB2312" w:cs="楷体_GB2312"/>
          <w:b/>
          <w:bCs w:val="0"/>
          <w:color w:val="auto"/>
          <w:kern w:val="0"/>
          <w:sz w:val="32"/>
          <w:szCs w:val="32"/>
          <w:highlight w:val="none"/>
          <w:lang w:val="en-US" w:eastAsia="zh-CN" w:bidi="ar-SA"/>
        </w:rPr>
        <w:t>（一）机关运行经费情况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2023年，皮山县新城区街道办事处本级及下属1家行政单位和0家事业单位的机关运行经费财政拨款预算20.84万元，比上年预算减少78.66万元，下降15.27%。主要原因是今年是以收定支，未纳入特定类项目。</w:t>
      </w:r>
    </w:p>
    <w:p>
      <w:pPr>
        <w:spacing w:before="150"/>
        <w:ind w:left="200" w:right="200" w:firstLine="500"/>
        <w:jc w:val="both"/>
        <w:rPr>
          <w:rFonts w:hint="eastAsia" w:ascii="楷体_GB2312" w:hAnsi="楷体_GB2312" w:eastAsia="楷体_GB2312" w:cs="楷体_GB2312"/>
          <w:b/>
          <w:bCs w:val="0"/>
          <w:color w:val="auto"/>
          <w:kern w:val="0"/>
          <w:sz w:val="32"/>
          <w:szCs w:val="32"/>
          <w:highlight w:val="none"/>
          <w:lang w:val="en-US" w:eastAsia="zh-CN" w:bidi="ar-SA"/>
        </w:rPr>
      </w:pPr>
      <w:r>
        <w:rPr>
          <w:rFonts w:hint="eastAsia" w:ascii="楷体_GB2312" w:hAnsi="楷体_GB2312" w:eastAsia="楷体_GB2312" w:cs="楷体_GB2312"/>
          <w:b/>
          <w:bCs w:val="0"/>
          <w:color w:val="auto"/>
          <w:kern w:val="0"/>
          <w:sz w:val="32"/>
          <w:szCs w:val="32"/>
          <w:highlight w:val="none"/>
          <w:lang w:val="en-US" w:eastAsia="zh-CN" w:bidi="ar-SA"/>
        </w:rPr>
        <w:t>（二）县政府采购情况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2023年，皮山县新城区街道办事处政府采购预算0万元，其中：政府采购货物预算0万元，政府采购工程预算0万元，政府采购服务预算0万元。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2023年度本单位面向中小企业预留县政府采购项目预算金额0万元，其中：面向小微企业预留县政府采购项目预算金额0万元。</w:t>
      </w:r>
    </w:p>
    <w:p>
      <w:pPr>
        <w:spacing w:before="150"/>
        <w:ind w:left="200" w:right="200" w:firstLine="500"/>
        <w:jc w:val="both"/>
        <w:rPr>
          <w:rFonts w:hint="eastAsia" w:ascii="楷体_GB2312" w:hAnsi="楷体_GB2312" w:eastAsia="楷体_GB2312" w:cs="楷体_GB2312"/>
          <w:b/>
          <w:bCs w:val="0"/>
          <w:color w:val="auto"/>
          <w:kern w:val="0"/>
          <w:sz w:val="32"/>
          <w:szCs w:val="32"/>
          <w:highlight w:val="none"/>
          <w:lang w:val="en-US" w:eastAsia="zh-CN" w:bidi="ar-SA"/>
        </w:rPr>
      </w:pPr>
      <w:r>
        <w:rPr>
          <w:rFonts w:hint="eastAsia" w:ascii="楷体_GB2312" w:hAnsi="楷体_GB2312" w:eastAsia="楷体_GB2312" w:cs="楷体_GB2312"/>
          <w:b/>
          <w:bCs w:val="0"/>
          <w:color w:val="auto"/>
          <w:kern w:val="0"/>
          <w:sz w:val="32"/>
          <w:szCs w:val="32"/>
          <w:highlight w:val="none"/>
          <w:lang w:val="en-US" w:eastAsia="zh-CN" w:bidi="ar-SA"/>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截至2022年底，皮山县新城区街道办事处及下属各预算单位占用使用国有资产总体情况为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1.房屋0平方米，价值0万元。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2.车辆0辆，价值0.00万元；其中：一般公务用车0辆，价值0万元；执法执勤用车0辆，价值0万元；其他车辆0辆，价值0万元。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3.办公家具价值0万元。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4.其他资产价值0万元。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价值50万元以上大型设备0台，价值100万元以上大型设备0台。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2023年预算安排购置车辆经费0万元，安排购置50万元以上大型设备0台，价值100万元以上大型设备0台。</w:t>
      </w:r>
    </w:p>
    <w:p>
      <w:pPr>
        <w:spacing w:before="150"/>
        <w:ind w:left="200" w:right="200" w:firstLine="500"/>
        <w:jc w:val="both"/>
        <w:rPr>
          <w:rFonts w:hint="eastAsia" w:ascii="楷体_GB2312" w:hAnsi="楷体_GB2312" w:eastAsia="楷体_GB2312" w:cs="楷体_GB2312"/>
          <w:b/>
          <w:bCs w:val="0"/>
          <w:color w:val="auto"/>
          <w:kern w:val="0"/>
          <w:sz w:val="32"/>
          <w:szCs w:val="32"/>
          <w:highlight w:val="none"/>
          <w:lang w:val="en-US" w:eastAsia="zh-CN" w:bidi="ar-SA"/>
        </w:rPr>
      </w:pPr>
      <w:r>
        <w:rPr>
          <w:rFonts w:hint="eastAsia" w:ascii="楷体_GB2312" w:hAnsi="楷体_GB2312" w:eastAsia="楷体_GB2312" w:cs="楷体_GB2312"/>
          <w:b/>
          <w:bCs w:val="0"/>
          <w:color w:val="auto"/>
          <w:kern w:val="0"/>
          <w:sz w:val="32"/>
          <w:szCs w:val="32"/>
          <w:highlight w:val="none"/>
          <w:lang w:val="en-US" w:eastAsia="zh-CN" w:bidi="ar-SA"/>
        </w:rPr>
        <w:t>（四）预算绩效情况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2023年，本年度预算绩效管理的财政拨款项目1个，涉及预算金额2万元；非财政拨款项目0个，涉及预算金额0万元。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具体情况见下（按项目分别填报）：</w:t>
      </w:r>
    </w:p>
    <w:p>
      <w:pPr>
        <w:rPr>
          <w:rFonts w:ascii="仿宋" w:hAnsi="仿宋" w:eastAsia="仿宋" w:cs="仿宋"/>
          <w:position w:val="10"/>
          <w:sz w:val="34"/>
          <w:highlight w:val="none"/>
        </w:rPr>
      </w:pPr>
      <w:r>
        <w:rPr>
          <w:rFonts w:ascii="仿宋" w:hAnsi="仿宋" w:eastAsia="仿宋" w:cs="仿宋"/>
          <w:position w:val="10"/>
          <w:sz w:val="34"/>
          <w:highlight w:val="none"/>
        </w:rPr>
        <w:br w:type="page"/>
      </w:r>
    </w:p>
    <w:p>
      <w:pPr>
        <w:ind w:right="200"/>
        <w:jc w:val="left"/>
        <w:rPr>
          <w:rFonts w:ascii="仿宋" w:hAnsi="仿宋" w:eastAsia="仿宋" w:cs="仿宋"/>
          <w:position w:val="10"/>
          <w:sz w:val="34"/>
          <w:highlight w:val="none"/>
        </w:rPr>
      </w:pPr>
    </w:p>
    <w:tbl>
      <w:tblPr>
        <w:tblStyle w:val="3"/>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9260" w:type="dxa"/>
            <w:gridSpan w:val="9"/>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3</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皮山县人民政府办公室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5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仿宋" w:cs="宋体"/>
                <w:i w:val="0"/>
                <w:iCs w:val="0"/>
                <w:color w:val="000000"/>
                <w:sz w:val="18"/>
                <w:szCs w:val="18"/>
                <w:highlight w:val="none"/>
                <w:u w:val="none"/>
                <w:lang w:val="en-US" w:eastAsia="zh-CN"/>
              </w:rPr>
            </w:pPr>
            <w:r>
              <w:rPr>
                <w:rFonts w:ascii="仿宋" w:hAnsi="仿宋" w:eastAsia="仿宋" w:cs="仿宋"/>
                <w:position w:val="8"/>
                <w:sz w:val="20"/>
              </w:rPr>
              <w:t>2023年</w:t>
            </w:r>
            <w:r>
              <w:rPr>
                <w:rFonts w:hint="eastAsia" w:ascii="仿宋" w:hAnsi="仿宋" w:eastAsia="仿宋" w:cs="仿宋"/>
                <w:position w:val="8"/>
                <w:sz w:val="20"/>
                <w:lang w:val="en-US" w:eastAsia="zh-CN"/>
              </w:rPr>
              <w:t>驻村工作人员工作经费</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both"/>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司参云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21"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val="en-US" w:eastAsia="zh-CN"/>
              </w:rPr>
              <w:t>2</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70"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根据《关于2023年民族团结进步创建的报告》要求，制作1批民族团结宣传牌子，创建民族团结示范社区1个（君安社区），促进民族团结进步创建工作正常开展，</w:t>
            </w:r>
            <w:r>
              <w:rPr>
                <w:rFonts w:hint="eastAsia" w:ascii="宋体" w:hAnsi="宋体" w:eastAsia="宋体" w:cs="宋体"/>
                <w:i w:val="0"/>
                <w:iCs w:val="0"/>
                <w:color w:val="000000"/>
                <w:sz w:val="18"/>
                <w:szCs w:val="18"/>
                <w:highlight w:val="none"/>
                <w:u w:val="none"/>
                <w:lang w:eastAsia="zh-CN"/>
              </w:rPr>
              <w:t>铸牢中华民族共同体意识</w:t>
            </w:r>
            <w:r>
              <w:rPr>
                <w:rFonts w:hint="eastAsia" w:ascii="宋体" w:hAnsi="宋体" w:eastAsia="宋体" w:cs="宋体"/>
                <w:i w:val="0"/>
                <w:iCs w:val="0"/>
                <w:color w:val="000000"/>
                <w:sz w:val="18"/>
                <w:szCs w:val="18"/>
                <w:highlight w:val="none"/>
                <w:u w:val="none"/>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0"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4" w:hRule="atLeast"/>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寺管会个数</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eastAsia="zh-CN"/>
              </w:rPr>
              <w:t>≥</w:t>
            </w:r>
            <w:r>
              <w:rPr>
                <w:rFonts w:hint="eastAsia" w:ascii="宋体" w:hAnsi="宋体" w:eastAsia="宋体" w:cs="宋体"/>
                <w:i w:val="0"/>
                <w:iCs w:val="0"/>
                <w:color w:val="000000"/>
                <w:sz w:val="18"/>
                <w:szCs w:val="18"/>
                <w:highlight w:val="none"/>
                <w:u w:val="none"/>
              </w:rPr>
              <w:t>2</w:t>
            </w:r>
            <w:r>
              <w:rPr>
                <w:rFonts w:hint="eastAsia" w:ascii="宋体" w:hAnsi="宋体" w:cs="宋体"/>
                <w:i w:val="0"/>
                <w:iCs w:val="0"/>
                <w:color w:val="000000"/>
                <w:sz w:val="18"/>
                <w:szCs w:val="18"/>
                <w:highlight w:val="none"/>
                <w:u w:val="none"/>
                <w:lang w:val="en-US" w:eastAsia="zh-CN"/>
              </w:rPr>
              <w:t>个</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ind w:firstLine="180" w:firstLineChars="10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32"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工作经费覆盖率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p>
        </w:tc>
        <w:tc>
          <w:tcPr>
            <w:tcW w:w="917" w:type="dxa"/>
            <w:tcBorders>
              <w:top w:val="single" w:color="000000" w:sz="4" w:space="0"/>
              <w:left w:val="single" w:color="000000" w:sz="4" w:space="0"/>
              <w:bottom w:val="single" w:color="000000" w:sz="4" w:space="0"/>
              <w:right w:val="single" w:color="000000" w:sz="4" w:space="0"/>
            </w:tcBorders>
            <w:vAlign w:val="center"/>
          </w:tcPr>
          <w:p>
            <w:pPr>
              <w:ind w:firstLine="180" w:firstLineChars="100"/>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54"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ascii="仿宋" w:hAnsi="仿宋" w:eastAsia="仿宋" w:cs="仿宋"/>
                <w:position w:val="8"/>
                <w:sz w:val="20"/>
              </w:rPr>
              <w:t>经费保障及时率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ind w:firstLine="180" w:firstLineChars="10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社会成本指标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经费使用率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&lt;=</w:t>
            </w:r>
            <w:r>
              <w:rPr>
                <w:rFonts w:hint="eastAsia" w:ascii="宋体" w:hAnsi="宋体" w:cs="宋体"/>
                <w:i w:val="0"/>
                <w:iCs w:val="0"/>
                <w:color w:val="000000"/>
                <w:sz w:val="18"/>
                <w:szCs w:val="18"/>
                <w:highlight w:val="none"/>
                <w:u w:val="none"/>
                <w:lang w:val="en-US" w:eastAsia="zh-CN"/>
              </w:rPr>
              <w:t>2</w:t>
            </w:r>
            <w:r>
              <w:rPr>
                <w:rFonts w:hint="eastAsia" w:ascii="宋体" w:hAnsi="宋体" w:eastAsia="宋体" w:cs="宋体"/>
                <w:i w:val="0"/>
                <w:iCs w:val="0"/>
                <w:color w:val="000000"/>
                <w:sz w:val="18"/>
                <w:szCs w:val="18"/>
                <w:highlight w:val="none"/>
                <w:u w:val="none"/>
              </w:rPr>
              <w:t>0000元</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预算支出标准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p>
        </w:tc>
        <w:tc>
          <w:tcPr>
            <w:tcW w:w="917" w:type="dxa"/>
            <w:tcBorders>
              <w:top w:val="single" w:color="000000" w:sz="4" w:space="0"/>
              <w:left w:val="single" w:color="000000" w:sz="4" w:space="0"/>
              <w:bottom w:val="single" w:color="000000" w:sz="4" w:space="0"/>
              <w:right w:val="single" w:color="000000" w:sz="4" w:space="0"/>
            </w:tcBorders>
            <w:vAlign w:val="center"/>
          </w:tcPr>
          <w:p>
            <w:pPr>
              <w:ind w:firstLine="180" w:firstLineChars="100"/>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规范化常态化科学化</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仿宋" w:hAnsi="仿宋" w:eastAsia="仿宋" w:cs="仿宋"/>
                <w:position w:val="8"/>
                <w:sz w:val="20"/>
                <w:lang w:eastAsia="zh-CN"/>
              </w:rPr>
              <w:t>≥</w:t>
            </w:r>
            <w:r>
              <w:rPr>
                <w:rFonts w:ascii="仿宋" w:hAnsi="仿宋" w:eastAsia="仿宋" w:cs="仿宋"/>
                <w:position w:val="8"/>
                <w:sz w:val="20"/>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center"/>
          </w:tcPr>
          <w:p>
            <w:pPr>
              <w:ind w:firstLine="180" w:firstLineChars="10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28"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保障单位各项工作的顺利开展</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有效保障</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p>
        </w:tc>
        <w:tc>
          <w:tcPr>
            <w:tcW w:w="917" w:type="dxa"/>
            <w:tcBorders>
              <w:top w:val="single" w:color="000000" w:sz="4" w:space="0"/>
              <w:left w:val="single" w:color="000000" w:sz="4" w:space="0"/>
              <w:bottom w:val="single" w:color="000000" w:sz="4" w:space="0"/>
              <w:right w:val="single" w:color="000000" w:sz="4" w:space="0"/>
            </w:tcBorders>
            <w:vAlign w:val="center"/>
          </w:tcPr>
          <w:p>
            <w:pPr>
              <w:ind w:firstLine="180" w:firstLineChars="100"/>
              <w:rPr>
                <w:rFonts w:hint="default" w:ascii="宋体" w:hAnsi="宋体" w:eastAsia="宋体" w:cs="宋体"/>
                <w:i w:val="0"/>
                <w:iCs w:val="0"/>
                <w:color w:val="000000"/>
                <w:sz w:val="18"/>
                <w:szCs w:val="18"/>
                <w:highlight w:val="none"/>
                <w:u w:val="none"/>
                <w:lang w:val="en-US"/>
              </w:rPr>
            </w:pPr>
            <w:r>
              <w:rPr>
                <w:rFonts w:hint="eastAsia" w:ascii="宋体" w:hAnsi="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2" w:hRule="atLeast"/>
        </w:trPr>
        <w:tc>
          <w:tcPr>
            <w:tcW w:w="811" w:type="dxa"/>
            <w:vMerge w:val="continue"/>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可持续影 响指标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持续提高区域内保持和谐稳定</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仿宋" w:hAnsi="仿宋" w:eastAsia="仿宋" w:cs="仿宋"/>
                <w:position w:val="8"/>
                <w:sz w:val="20"/>
                <w:lang w:eastAsia="zh-CN"/>
              </w:rPr>
              <w:t>≥</w:t>
            </w:r>
            <w:r>
              <w:rPr>
                <w:rFonts w:ascii="仿宋" w:hAnsi="仿宋" w:eastAsia="仿宋" w:cs="仿宋"/>
                <w:position w:val="8"/>
                <w:sz w:val="20"/>
              </w:rPr>
              <w:t>1年</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p>
        </w:tc>
        <w:tc>
          <w:tcPr>
            <w:tcW w:w="91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按照完成比 例</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职工满意率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≥95%</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p>
        </w:tc>
        <w:tc>
          <w:tcPr>
            <w:tcW w:w="917" w:type="dxa"/>
            <w:tcBorders>
              <w:top w:val="single" w:color="000000" w:sz="4" w:space="0"/>
              <w:left w:val="single" w:color="000000" w:sz="4" w:space="0"/>
              <w:bottom w:val="single" w:color="000000" w:sz="4" w:space="0"/>
              <w:right w:val="single" w:color="000000" w:sz="4" w:space="0"/>
            </w:tcBorders>
            <w:vAlign w:val="center"/>
          </w:tcPr>
          <w:p>
            <w:pPr>
              <w:ind w:firstLine="180" w:firstLineChars="100"/>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满意度赋分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r>
    </w:tbl>
    <w:p/>
    <w:p>
      <w:pPr>
        <w:ind w:right="200"/>
        <w:jc w:val="both"/>
        <w:rPr>
          <w:rFonts w:ascii="仿宋" w:hAnsi="仿宋" w:eastAsia="仿宋" w:cs="仿宋"/>
          <w:position w:val="10"/>
          <w:sz w:val="34"/>
          <w:highlight w:val="yellow"/>
        </w:rPr>
      </w:pPr>
    </w:p>
    <w:p>
      <w:pPr>
        <w:spacing w:before="150"/>
        <w:ind w:right="200"/>
        <w:jc w:val="both"/>
        <w:rPr>
          <w:rFonts w:hint="eastAsia" w:ascii="仿宋_GB2312" w:hAnsi="仿宋_GB2312" w:eastAsia="仿宋_GB2312" w:cs="仿宋_GB2312"/>
          <w:b/>
          <w:bCs w:val="0"/>
          <w:color w:val="auto"/>
          <w:kern w:val="0"/>
          <w:sz w:val="32"/>
          <w:szCs w:val="32"/>
          <w:highlight w:val="none"/>
          <w:lang w:val="en-US" w:eastAsia="zh-CN" w:bidi="ar-SA"/>
        </w:rPr>
      </w:pPr>
      <w:r>
        <w:rPr>
          <w:rFonts w:ascii="黑体" w:hAnsi="黑体" w:eastAsia="黑体" w:cs="黑体"/>
          <w:position w:val="20"/>
          <w:sz w:val="34"/>
          <w:highlight w:val="yellow"/>
        </w:rPr>
        <w:br w:type="textWrapping"/>
      </w:r>
      <w:r>
        <w:rPr>
          <w:rFonts w:hint="eastAsia" w:ascii="黑体" w:hAnsi="黑体" w:eastAsia="黑体" w:cs="黑体"/>
          <w:position w:val="20"/>
          <w:sz w:val="34"/>
          <w:highlight w:val="none"/>
          <w:lang w:val="en-US" w:eastAsia="zh-CN"/>
        </w:rPr>
        <w:t xml:space="preserve">    </w:t>
      </w:r>
      <w:r>
        <w:rPr>
          <w:rFonts w:hint="eastAsia" w:ascii="仿宋_GB2312" w:hAnsi="仿宋_GB2312" w:eastAsia="仿宋_GB2312" w:cs="仿宋_GB2312"/>
          <w:b/>
          <w:bCs w:val="0"/>
          <w:color w:val="auto"/>
          <w:kern w:val="0"/>
          <w:sz w:val="32"/>
          <w:szCs w:val="32"/>
          <w:highlight w:val="none"/>
          <w:lang w:val="en-US" w:eastAsia="zh-CN" w:bidi="ar-SA"/>
        </w:rPr>
        <w:t>（五）其他需说明的事项</w:t>
      </w:r>
    </w:p>
    <w:p>
      <w:pPr>
        <w:ind w:left="200" w:right="200" w:firstLine="500"/>
        <w:jc w:val="both"/>
      </w:pPr>
      <w:r>
        <w:rPr>
          <w:rFonts w:ascii="仿宋" w:hAnsi="仿宋" w:eastAsia="仿宋" w:cs="仿宋"/>
          <w:position w:val="10"/>
          <w:sz w:val="34"/>
        </w:rPr>
        <w:t>无其他需要说明的事项。</w:t>
      </w:r>
    </w:p>
    <w:p>
      <w:r>
        <w:br w:type="textWrapping"/>
      </w:r>
    </w:p>
    <w:p>
      <w:pPr>
        <w:rPr>
          <w:rFonts w:ascii="黑体" w:hAnsi="黑体" w:eastAsia="黑体" w:cs="黑体"/>
          <w:position w:val="30"/>
          <w:sz w:val="42"/>
        </w:rPr>
      </w:pPr>
      <w:r>
        <w:rPr>
          <w:rFonts w:ascii="黑体" w:hAnsi="黑体" w:eastAsia="黑体" w:cs="黑体"/>
          <w:position w:val="30"/>
          <w:sz w:val="42"/>
        </w:rPr>
        <w:br w:type="page"/>
      </w:r>
    </w:p>
    <w:p>
      <w:pPr>
        <w:ind w:right="200"/>
        <w:jc w:val="center"/>
        <w:rPr>
          <w:sz w:val="32"/>
          <w:szCs w:val="32"/>
        </w:rPr>
      </w:pPr>
      <w:r>
        <w:rPr>
          <w:rFonts w:ascii="黑体" w:hAnsi="黑体" w:eastAsia="黑体" w:cs="黑体"/>
          <w:position w:val="30"/>
          <w:sz w:val="32"/>
          <w:szCs w:val="32"/>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9"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楷体_GB2312" w:hAnsi="楷体_GB2312" w:eastAsia="楷体_GB2312" w:cs="楷体_GB2312"/>
          <w:b/>
          <w:bCs/>
          <w:color w:val="auto"/>
          <w:spacing w:val="-6"/>
          <w:kern w:val="0"/>
          <w:sz w:val="32"/>
          <w:szCs w:val="32"/>
          <w:highlight w:val="none"/>
          <w:lang w:val="en-US" w:eastAsia="zh-CN" w:bidi="ar-SA"/>
        </w:rPr>
        <w:t>一、财政拨款：</w:t>
      </w:r>
      <w:r>
        <w:rPr>
          <w:rFonts w:hint="eastAsia" w:ascii="仿宋_GB2312" w:hAnsi="宋体" w:eastAsia="仿宋_GB2312" w:cs="宋体"/>
          <w:color w:val="auto"/>
          <w:spacing w:val="-6"/>
          <w:kern w:val="0"/>
          <w:sz w:val="32"/>
          <w:szCs w:val="32"/>
          <w:highlight w:val="none"/>
          <w:lang w:val="en-US" w:eastAsia="zh-CN" w:bidi="ar-SA"/>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9"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楷体_GB2312" w:hAnsi="楷体_GB2312" w:eastAsia="楷体_GB2312" w:cs="楷体_GB2312"/>
          <w:b/>
          <w:bCs/>
          <w:color w:val="auto"/>
          <w:spacing w:val="-6"/>
          <w:kern w:val="0"/>
          <w:sz w:val="32"/>
          <w:szCs w:val="32"/>
          <w:highlight w:val="none"/>
          <w:lang w:val="en-US" w:eastAsia="zh-CN" w:bidi="ar-SA"/>
        </w:rPr>
        <w:t>二、一般公共预算：</w:t>
      </w:r>
      <w:r>
        <w:rPr>
          <w:rFonts w:hint="eastAsia" w:ascii="仿宋_GB2312" w:hAnsi="宋体" w:eastAsia="仿宋_GB2312" w:cs="宋体"/>
          <w:color w:val="auto"/>
          <w:spacing w:val="-6"/>
          <w:kern w:val="0"/>
          <w:sz w:val="32"/>
          <w:szCs w:val="32"/>
          <w:highlight w:val="none"/>
          <w:lang w:val="en-US" w:eastAsia="zh-CN" w:bidi="ar-SA"/>
        </w:rPr>
        <w:t>包括公共财政拨款（补助）资金、专项收入。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9"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楷体_GB2312" w:hAnsi="楷体_GB2312" w:eastAsia="楷体_GB2312" w:cs="楷体_GB2312"/>
          <w:b/>
          <w:bCs/>
          <w:color w:val="auto"/>
          <w:spacing w:val="-6"/>
          <w:kern w:val="0"/>
          <w:sz w:val="32"/>
          <w:szCs w:val="32"/>
          <w:highlight w:val="none"/>
          <w:lang w:val="en-US" w:eastAsia="zh-CN" w:bidi="ar-SA"/>
        </w:rPr>
        <w:t>三、财政专户管理资金：</w:t>
      </w:r>
      <w:r>
        <w:rPr>
          <w:rFonts w:hint="eastAsia" w:ascii="仿宋_GB2312" w:hAnsi="宋体" w:eastAsia="仿宋_GB2312" w:cs="宋体"/>
          <w:color w:val="auto"/>
          <w:spacing w:val="-6"/>
          <w:kern w:val="0"/>
          <w:sz w:val="32"/>
          <w:szCs w:val="32"/>
          <w:highlight w:val="none"/>
          <w:lang w:val="en-US" w:eastAsia="zh-CN" w:bidi="ar-SA"/>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9"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楷体_GB2312" w:hAnsi="楷体_GB2312" w:eastAsia="楷体_GB2312" w:cs="楷体_GB2312"/>
          <w:b/>
          <w:bCs/>
          <w:color w:val="auto"/>
          <w:spacing w:val="-6"/>
          <w:kern w:val="0"/>
          <w:sz w:val="32"/>
          <w:szCs w:val="32"/>
          <w:highlight w:val="none"/>
          <w:lang w:val="en-US" w:eastAsia="zh-CN" w:bidi="ar-SA"/>
        </w:rPr>
        <w:t>四、其他资金：</w:t>
      </w:r>
      <w:r>
        <w:rPr>
          <w:rFonts w:hint="eastAsia" w:ascii="仿宋_GB2312" w:hAnsi="宋体" w:eastAsia="仿宋_GB2312" w:cs="宋体"/>
          <w:color w:val="auto"/>
          <w:spacing w:val="-6"/>
          <w:kern w:val="0"/>
          <w:sz w:val="32"/>
          <w:szCs w:val="32"/>
          <w:highlight w:val="none"/>
          <w:lang w:val="en-US" w:eastAsia="zh-CN" w:bidi="ar-SA"/>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9"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楷体_GB2312" w:hAnsi="楷体_GB2312" w:eastAsia="楷体_GB2312" w:cs="楷体_GB2312"/>
          <w:b/>
          <w:bCs/>
          <w:color w:val="auto"/>
          <w:spacing w:val="-6"/>
          <w:kern w:val="0"/>
          <w:sz w:val="32"/>
          <w:szCs w:val="32"/>
          <w:highlight w:val="none"/>
          <w:lang w:val="en-US" w:eastAsia="zh-CN" w:bidi="ar-SA"/>
        </w:rPr>
        <w:t>五、基本支出：</w:t>
      </w:r>
      <w:r>
        <w:rPr>
          <w:rFonts w:hint="eastAsia" w:ascii="仿宋_GB2312" w:hAnsi="宋体" w:eastAsia="仿宋_GB2312" w:cs="宋体"/>
          <w:color w:val="auto"/>
          <w:spacing w:val="-6"/>
          <w:kern w:val="0"/>
          <w:sz w:val="32"/>
          <w:szCs w:val="32"/>
          <w:highlight w:val="none"/>
          <w:lang w:val="en-US" w:eastAsia="zh-CN" w:bidi="ar-SA"/>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9"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楷体_GB2312" w:hAnsi="楷体_GB2312" w:eastAsia="楷体_GB2312" w:cs="楷体_GB2312"/>
          <w:b/>
          <w:bCs/>
          <w:color w:val="auto"/>
          <w:spacing w:val="-6"/>
          <w:kern w:val="0"/>
          <w:sz w:val="32"/>
          <w:szCs w:val="32"/>
          <w:highlight w:val="none"/>
          <w:lang w:val="en-US" w:eastAsia="zh-CN" w:bidi="ar-SA"/>
        </w:rPr>
        <w:t>六、项目支出：</w:t>
      </w:r>
      <w:r>
        <w:rPr>
          <w:rFonts w:hint="eastAsia" w:ascii="仿宋_GB2312" w:hAnsi="宋体" w:eastAsia="仿宋_GB2312" w:cs="宋体"/>
          <w:color w:val="auto"/>
          <w:spacing w:val="-6"/>
          <w:kern w:val="0"/>
          <w:sz w:val="32"/>
          <w:szCs w:val="32"/>
          <w:highlight w:val="none"/>
          <w:lang w:val="en-US" w:eastAsia="zh-CN" w:bidi="ar-SA"/>
        </w:rPr>
        <w:t>部门（单位）支出预算的组成部分，是各部门（单位）为完成其特定的行政任务或事业发展目标，在基本支出预算之外编制的年度项目支出计划。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9"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楷体_GB2312" w:hAnsi="楷体_GB2312" w:eastAsia="楷体_GB2312" w:cs="楷体_GB2312"/>
          <w:b/>
          <w:bCs/>
          <w:color w:val="auto"/>
          <w:spacing w:val="-6"/>
          <w:kern w:val="0"/>
          <w:sz w:val="32"/>
          <w:szCs w:val="32"/>
          <w:highlight w:val="none"/>
          <w:lang w:val="en-US" w:eastAsia="zh-CN" w:bidi="ar-SA"/>
        </w:rPr>
        <w:t>七、“三公”经费：</w:t>
      </w:r>
      <w:r>
        <w:rPr>
          <w:rFonts w:hint="eastAsia" w:ascii="仿宋_GB2312" w:hAnsi="宋体" w:eastAsia="仿宋_GB2312" w:cs="宋体"/>
          <w:color w:val="auto"/>
          <w:spacing w:val="-6"/>
          <w:kern w:val="0"/>
          <w:sz w:val="32"/>
          <w:szCs w:val="32"/>
          <w:highlight w:val="none"/>
          <w:lang w:val="en-US" w:eastAsia="zh-CN" w:bidi="ar-SA"/>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9"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楷体_GB2312" w:hAnsi="楷体_GB2312" w:eastAsia="楷体_GB2312" w:cs="楷体_GB2312"/>
          <w:b/>
          <w:bCs/>
          <w:color w:val="auto"/>
          <w:spacing w:val="-6"/>
          <w:kern w:val="0"/>
          <w:sz w:val="32"/>
          <w:szCs w:val="32"/>
          <w:highlight w:val="none"/>
          <w:lang w:val="en-US" w:eastAsia="zh-CN" w:bidi="ar-SA"/>
        </w:rPr>
        <w:t>八、机关运行经费：</w:t>
      </w:r>
      <w:r>
        <w:rPr>
          <w:rFonts w:hint="eastAsia" w:ascii="仿宋_GB2312" w:hAnsi="宋体" w:eastAsia="仿宋_GB2312" w:cs="宋体"/>
          <w:color w:val="auto"/>
          <w:spacing w:val="-6"/>
          <w:kern w:val="0"/>
          <w:sz w:val="32"/>
          <w:szCs w:val="32"/>
          <w:highlight w:val="none"/>
          <w:lang w:val="en-US" w:eastAsia="zh-CN" w:bidi="ar-SA"/>
        </w:rPr>
        <w:t>指各部门（单位）的公用经费，包括办公及印刷费、邮电费、差旅费、会议费、福利费、日常维修费、专用材料及一般设备购置费、办公用房水电费、办公用房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4004" w:firstLineChars="13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皮山县新城区街道办事处</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lang w:val="en-US" w:eastAsia="zh-CN" w:bidi="ar-SA"/>
        </w:rPr>
      </w:pPr>
      <w:r>
        <w:rPr>
          <w:rFonts w:hint="eastAsia" w:ascii="仿宋_GB2312" w:hAnsi="宋体" w:eastAsia="仿宋_GB2312" w:cs="宋体"/>
          <w:color w:val="auto"/>
          <w:spacing w:val="-6"/>
          <w:kern w:val="0"/>
          <w:sz w:val="32"/>
          <w:szCs w:val="32"/>
          <w:highlight w:val="none"/>
          <w:lang w:val="en-US" w:eastAsia="zh-CN" w:bidi="ar-SA"/>
        </w:rPr>
        <w:t xml:space="preserve">                        2023年1月18日</w:t>
      </w:r>
    </w:p>
    <w:sect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方正大标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191BD3"/>
    <w:multiLevelType w:val="singleLevel"/>
    <w:tmpl w:val="58191BD3"/>
    <w:lvl w:ilvl="0" w:tentative="0">
      <w:start w:val="3"/>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4045B"/>
    <w:rsid w:val="01B83559"/>
    <w:rsid w:val="03812221"/>
    <w:rsid w:val="03C7265D"/>
    <w:rsid w:val="03CD38B9"/>
    <w:rsid w:val="04B17181"/>
    <w:rsid w:val="04E160AD"/>
    <w:rsid w:val="051D6BA8"/>
    <w:rsid w:val="06612C6E"/>
    <w:rsid w:val="06D76C4B"/>
    <w:rsid w:val="087B34C4"/>
    <w:rsid w:val="08AF4EA4"/>
    <w:rsid w:val="0B010B64"/>
    <w:rsid w:val="0C581FAC"/>
    <w:rsid w:val="0D393D36"/>
    <w:rsid w:val="0D690144"/>
    <w:rsid w:val="0DF24B39"/>
    <w:rsid w:val="10270993"/>
    <w:rsid w:val="11FE117F"/>
    <w:rsid w:val="12191339"/>
    <w:rsid w:val="124529C6"/>
    <w:rsid w:val="12806BC1"/>
    <w:rsid w:val="136E11A5"/>
    <w:rsid w:val="14A65729"/>
    <w:rsid w:val="14AD3A93"/>
    <w:rsid w:val="152B7C62"/>
    <w:rsid w:val="15DB0231"/>
    <w:rsid w:val="17945340"/>
    <w:rsid w:val="179540F9"/>
    <w:rsid w:val="179B4EE0"/>
    <w:rsid w:val="17BE294C"/>
    <w:rsid w:val="196F3DFA"/>
    <w:rsid w:val="19F86C97"/>
    <w:rsid w:val="1A211AE6"/>
    <w:rsid w:val="1C487322"/>
    <w:rsid w:val="1C4B1C2F"/>
    <w:rsid w:val="1C9B56BE"/>
    <w:rsid w:val="1E8B51A2"/>
    <w:rsid w:val="1F5B653A"/>
    <w:rsid w:val="224B3402"/>
    <w:rsid w:val="23815290"/>
    <w:rsid w:val="23F06088"/>
    <w:rsid w:val="23FE0EC8"/>
    <w:rsid w:val="26E900CB"/>
    <w:rsid w:val="292B4FEF"/>
    <w:rsid w:val="2CA82D46"/>
    <w:rsid w:val="2CFF167E"/>
    <w:rsid w:val="2DC12CE4"/>
    <w:rsid w:val="2DD6688F"/>
    <w:rsid w:val="2EF01865"/>
    <w:rsid w:val="2F157C24"/>
    <w:rsid w:val="308A18F6"/>
    <w:rsid w:val="314D3DFE"/>
    <w:rsid w:val="317C39BB"/>
    <w:rsid w:val="336B1DB0"/>
    <w:rsid w:val="336B3CD7"/>
    <w:rsid w:val="339D6FDA"/>
    <w:rsid w:val="3525425F"/>
    <w:rsid w:val="35395991"/>
    <w:rsid w:val="35D9519B"/>
    <w:rsid w:val="36F261F8"/>
    <w:rsid w:val="36F76F18"/>
    <w:rsid w:val="370653C9"/>
    <w:rsid w:val="38327B47"/>
    <w:rsid w:val="38C06047"/>
    <w:rsid w:val="39A162A2"/>
    <w:rsid w:val="3B8E5F8D"/>
    <w:rsid w:val="3BF21AC7"/>
    <w:rsid w:val="3D8934C4"/>
    <w:rsid w:val="3E0B3301"/>
    <w:rsid w:val="3EB8338A"/>
    <w:rsid w:val="3ECE7103"/>
    <w:rsid w:val="3ED340D6"/>
    <w:rsid w:val="3F0D4BAD"/>
    <w:rsid w:val="3F8F1990"/>
    <w:rsid w:val="400C5A5B"/>
    <w:rsid w:val="40825E3F"/>
    <w:rsid w:val="40E94FD1"/>
    <w:rsid w:val="41247818"/>
    <w:rsid w:val="41A374F9"/>
    <w:rsid w:val="42642ECD"/>
    <w:rsid w:val="42CB1B09"/>
    <w:rsid w:val="447144A2"/>
    <w:rsid w:val="44EB00DA"/>
    <w:rsid w:val="46691140"/>
    <w:rsid w:val="48314DD5"/>
    <w:rsid w:val="487C274B"/>
    <w:rsid w:val="497B25B9"/>
    <w:rsid w:val="49A428EC"/>
    <w:rsid w:val="49D84BA4"/>
    <w:rsid w:val="4AA70016"/>
    <w:rsid w:val="4B5C5781"/>
    <w:rsid w:val="4B6509B3"/>
    <w:rsid w:val="4C216A63"/>
    <w:rsid w:val="4C5802C7"/>
    <w:rsid w:val="4D2E1859"/>
    <w:rsid w:val="4D5600B4"/>
    <w:rsid w:val="4DC74AE0"/>
    <w:rsid w:val="4F5A7967"/>
    <w:rsid w:val="4F5B78BB"/>
    <w:rsid w:val="4F9E39C3"/>
    <w:rsid w:val="51396AB4"/>
    <w:rsid w:val="545A721C"/>
    <w:rsid w:val="54AF034F"/>
    <w:rsid w:val="55137B16"/>
    <w:rsid w:val="56D913DE"/>
    <w:rsid w:val="57BF3B7B"/>
    <w:rsid w:val="58A07A5A"/>
    <w:rsid w:val="5B1609CE"/>
    <w:rsid w:val="5B621DF7"/>
    <w:rsid w:val="5BA30AE9"/>
    <w:rsid w:val="5C0A7E10"/>
    <w:rsid w:val="5CB11561"/>
    <w:rsid w:val="5CE63F77"/>
    <w:rsid w:val="5D105D06"/>
    <w:rsid w:val="5F5D1E6B"/>
    <w:rsid w:val="5FA10336"/>
    <w:rsid w:val="60902BD0"/>
    <w:rsid w:val="60AE7EF7"/>
    <w:rsid w:val="61360239"/>
    <w:rsid w:val="613C246B"/>
    <w:rsid w:val="61A9109E"/>
    <w:rsid w:val="62811256"/>
    <w:rsid w:val="62867F51"/>
    <w:rsid w:val="636506C4"/>
    <w:rsid w:val="639C65EE"/>
    <w:rsid w:val="644176CB"/>
    <w:rsid w:val="648237AB"/>
    <w:rsid w:val="649F430B"/>
    <w:rsid w:val="659240A2"/>
    <w:rsid w:val="65B50118"/>
    <w:rsid w:val="665006B4"/>
    <w:rsid w:val="6672133F"/>
    <w:rsid w:val="67427FF6"/>
    <w:rsid w:val="679C20FE"/>
    <w:rsid w:val="69DA26A4"/>
    <w:rsid w:val="6A97471D"/>
    <w:rsid w:val="6B1E3B96"/>
    <w:rsid w:val="6D0F3B46"/>
    <w:rsid w:val="6D655B9E"/>
    <w:rsid w:val="6E671490"/>
    <w:rsid w:val="6F375041"/>
    <w:rsid w:val="6FC26028"/>
    <w:rsid w:val="702462D0"/>
    <w:rsid w:val="72192AAE"/>
    <w:rsid w:val="724970A0"/>
    <w:rsid w:val="73386FF0"/>
    <w:rsid w:val="73521AC7"/>
    <w:rsid w:val="74BF01F8"/>
    <w:rsid w:val="75A75054"/>
    <w:rsid w:val="7678293F"/>
    <w:rsid w:val="76BF0B94"/>
    <w:rsid w:val="77B5108E"/>
    <w:rsid w:val="793732A2"/>
    <w:rsid w:val="7A601ED6"/>
    <w:rsid w:val="7C0942D5"/>
    <w:rsid w:val="7C3C7E1C"/>
    <w:rsid w:val="7DA238EF"/>
    <w:rsid w:val="7F11381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24</Pages>
  <Words>2665</Words>
  <Characters>3513</Characters>
  <TotalTime>28</TotalTime>
  <ScaleCrop>false</ScaleCrop>
  <LinksUpToDate>false</LinksUpToDate>
  <CharactersWithSpaces>4051</CharactersWithSpaces>
  <Application>WPS Office_10.8.2.6837_F1E327BC-269C-435d-A152-05C5408002CA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2023-04-23T05:02:00Z</dcterms:created>
  <dc:creator>Apache POI</dc:creator>
  <cp:lastModifiedBy>Administrator</cp:lastModifiedBy>
  <dcterms:modified xsi:type="dcterms:W3CDTF">2025-07-23T10:15:46Z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KSOTemplateDocerSaveRecord">
    <vt:lpwstr>eyJoZGlkIjoiNzAxMTMxODk2NDhkOTYyZTEzNGQ3YTlkNDQ1ZDRlZWIiLCJ1c2VySWQiOiI5NTc2ODg5MzgifQ==</vt:lpwstr>
  </property>
  <property fmtid="{D5CDD505-2E9C-101B-9397-08002B2CF9AE}" pid="4" name="ICV">
    <vt:lpwstr>A8615DD1AEB74495AB849A0F9B8D9483_12</vt:lpwstr>
  </property>
</Properties>
</file>