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hint="default" w:ascii="Times New Roman" w:hAnsi="Times New Roman" w:eastAsia="黑体" w:cs="Times New Roman"/>
          <w:position w:val="30"/>
          <w:sz w:val="42"/>
        </w:rPr>
        <w:br w:type="textWrapping"/>
      </w:r>
      <w:r>
        <w:rPr>
          <w:rFonts w:hint="default" w:ascii="Times New Roman" w:hAnsi="Times New Roman" w:eastAsia="黑体" w:cs="Times New Roman"/>
          <w:position w:val="30"/>
          <w:sz w:val="42"/>
        </w:rPr>
        <w:br w:type="textWrapping"/>
      </w:r>
      <w:r>
        <w:rPr>
          <w:rFonts w:hint="eastAsia" w:ascii="Times New Roman" w:hAnsi="Times New Roman" w:eastAsia="方正小标宋_GBK" w:cs="Times New Roman"/>
          <w:kern w:val="0"/>
          <w:sz w:val="44"/>
          <w:szCs w:val="44"/>
          <w:lang w:val="en-US" w:eastAsia="zh-CN" w:bidi="ar-SA"/>
        </w:rPr>
        <w:t>中国共产主义青年团皮山县委员会</w:t>
      </w:r>
    </w:p>
    <w:p>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hint="eastAsia" w:ascii="Times New Roman" w:hAnsi="Times New Roman" w:eastAsia="方正小标宋_GBK" w:cs="Times New Roman"/>
          <w:kern w:val="0"/>
          <w:sz w:val="44"/>
          <w:szCs w:val="44"/>
          <w:lang w:val="en-US" w:eastAsia="zh-CN" w:bidi="ar-SA"/>
        </w:rPr>
        <w:t>2023年单位预算公开</w:t>
      </w:r>
    </w:p>
    <w:p>
      <w:pPr>
        <w:rPr>
          <w:rFonts w:hint="default" w:ascii="Times New Roman" w:hAnsi="Times New Roman" w:cs="Times New Roman"/>
        </w:rPr>
      </w:pPr>
      <w:r>
        <w:rPr>
          <w:rFonts w:hint="default" w:ascii="Times New Roman" w:hAnsi="Times New Roman" w:cs="Times New Roman"/>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黑体" w:hAnsi="黑体" w:eastAsia="黑体" w:cs="黑体"/>
          <w:color w:val="auto"/>
          <w:kern w:val="0"/>
          <w:sz w:val="32"/>
          <w:szCs w:val="32"/>
          <w:highlight w:val="none"/>
          <w:lang w:val="en-US" w:eastAsia="zh-CN" w:bidi="ar-SA"/>
        </w:rPr>
      </w:pPr>
      <w:r>
        <w:rPr>
          <w:rFonts w:hint="default" w:ascii="黑体" w:hAnsi="黑体" w:eastAsia="黑体" w:cs="黑体"/>
          <w:color w:val="auto"/>
          <w:kern w:val="0"/>
          <w:sz w:val="32"/>
          <w:szCs w:val="32"/>
          <w:highlight w:val="none"/>
          <w:lang w:val="en-US" w:eastAsia="zh-CN" w:bidi="ar-SA"/>
        </w:rPr>
        <w:t>目录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第一部分中国共产主义青年团皮山县委员会单位概况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第二部分2023年单位预算公开表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四、财政拨款收支预算总体情况表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八、政府性基金预算支出情况表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九、国有资本经营预算支出情况表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第三部分2023年单位预算情况说明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一、关于中国共产主义青年团皮山县委员会2023年收支预算情况的总体说明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二、关于中国共产主义青年团皮山县委员会2023年收入预算情况说明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三、关于中国共产主义青年团皮山县委员会2023年支出预算情况说明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四、关于中国共产主义青年团皮山县委员会2023年财政拨款收支预算情况的总体说明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五、关于中国共产主义青年团皮山县委员会2023年一般公共预算当年拨款情况说明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六、关于中国共产主义青年团皮山县委员会2023年一般公共预算基本支出情况说明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七、关于中国共产主义青年团皮山县委员会2023年一般公共预算项目支出情况说明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八、关于中国共产主义青年团皮山县委员会2023年政府性基金预算拨款情况说明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九、关于中国共产主义青年团皮山县委员会2023年国有资本经营预算拨款情况说明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十、关于中国共产主义青年团皮山县委员会2023年财政拨款“三公”经费预算情况说明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default" w:ascii="仿宋_GB2312" w:hAnsi="仿宋_GB2312" w:eastAsia="仿宋_GB2312" w:cs="仿宋_GB2312"/>
          <w:color w:val="auto"/>
          <w:kern w:val="0"/>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第四部分名词解释</w:t>
      </w:r>
    </w:p>
    <w:p>
      <w:pPr>
        <w:rPr>
          <w:rFonts w:hint="default" w:ascii="Times New Roman" w:hAnsi="Times New Roman" w:cs="Times New Roman"/>
        </w:rPr>
      </w:pPr>
      <w:r>
        <w:rPr>
          <w:rFonts w:hint="default" w:ascii="Times New Roman" w:hAnsi="Times New Roman" w:cs="Times New Roman"/>
        </w:rPr>
        <w:br w:type="textWrapping"/>
      </w:r>
    </w:p>
    <w:p>
      <w:pPr>
        <w:ind w:left="200" w:right="200" w:firstLine="500"/>
        <w:jc w:val="center"/>
        <w:rPr>
          <w:rFonts w:hint="default" w:ascii="Times New Roman" w:hAnsi="Times New Roman" w:eastAsia="黑体" w:cs="Times New Roman"/>
          <w:position w:val="30"/>
          <w:sz w:val="42"/>
        </w:rPr>
      </w:pPr>
    </w:p>
    <w:p>
      <w:pPr>
        <w:ind w:left="200" w:right="200" w:firstLine="500"/>
        <w:jc w:val="center"/>
        <w:rPr>
          <w:rFonts w:hint="default" w:ascii="Times New Roman" w:hAnsi="Times New Roman" w:eastAsia="黑体" w:cs="Times New Roman"/>
          <w:position w:val="30"/>
          <w:sz w:val="42"/>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default" w:ascii="黑体" w:hAnsi="黑体" w:eastAsia="黑体" w:cs="Times New Roman"/>
          <w:color w:val="auto"/>
          <w:kern w:val="0"/>
          <w:sz w:val="32"/>
          <w:szCs w:val="32"/>
          <w:highlight w:val="none"/>
          <w:lang w:val="en-US" w:eastAsia="zh-CN" w:bidi="ar-SA"/>
        </w:rPr>
      </w:pPr>
      <w:r>
        <w:rPr>
          <w:rFonts w:hint="default" w:ascii="黑体" w:hAnsi="黑体" w:eastAsia="黑体" w:cs="Times New Roman"/>
          <w:color w:val="auto"/>
          <w:kern w:val="0"/>
          <w:sz w:val="32"/>
          <w:szCs w:val="32"/>
          <w:highlight w:val="none"/>
          <w:lang w:val="en-US" w:eastAsia="zh-CN" w:bidi="ar-SA"/>
        </w:rPr>
        <w:t>第一部分中国共产主义青年团皮山县委员会单位概况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1、根据党的各个时期的中心任务和上级团委的部署及皮山县委的要求，提出每个时期全县团的工作方针、任务，制定全县共青团工作计划，组织团员青年积极完成党组织安排的各项任务。</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2、负责指导、督促、检查全县各乡镇、场和县直各单位团的工作，总结、交流、推广团的先进工作经验，树立先进典型。</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3、了解和掌握青年的思想、工作、学习生活情况，调查研究青年工作中的实际问题，及时向皮山县委和上级团委反映并提出解决问题的意见和建议。</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4、对团员青年进行思想教育、道德教育、纪律教育、革命传统教育，积极倡导社会新风，带领青年在社会主义精神文明建设中发挥先锋作用。</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5、紧紧围绕经济建设这个中心，按照青年特点，开展各种有益活动，调动其生产、工作和学习的积极性。</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6、关心青少年的成长，保护青少年合法权益，积极协助解决青少年的实际困难，为青少年服务。</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7、负责领导全县少先队工作。</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8、负责全县团的思想建设和组织建设，搞好团员队伍建设、团干部队伍建设和基层组织建设。</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9、组织青少年参与社会监督，促进民主法制建设。</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10、积极发展壮大团的组织，大力培养团干部，积极向党输送合格的青年干部。</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Times New Roman" w:hAnsi="Times New Roman" w:eastAsia="仿宋" w:cs="Times New Roman"/>
          <w:position w:val="10"/>
          <w:sz w:val="34"/>
        </w:rPr>
      </w:pPr>
      <w:r>
        <w:rPr>
          <w:rFonts w:hint="default" w:ascii="仿宋_GB2312" w:hAnsi="黑体" w:eastAsia="仿宋_GB2312" w:cs="宋体"/>
          <w:bCs/>
          <w:color w:val="auto"/>
          <w:kern w:val="0"/>
          <w:sz w:val="32"/>
          <w:szCs w:val="32"/>
          <w:highlight w:val="none"/>
          <w:lang w:val="en-US" w:eastAsia="zh-CN" w:bidi="ar-SA"/>
        </w:rPr>
        <w:t>11、完成皮山县委及上级团委交办的其他事项。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二、机构设置及人员情况</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中国共产主义青年团皮山县委员会无下属预算单位，无下设科室，分设1个机构，分别是：少先队皮山县工作委员会。</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default" w:ascii="仿宋_GB2312" w:hAnsi="黑体" w:eastAsia="仿宋_GB2312" w:cs="宋体"/>
          <w:bCs/>
          <w:color w:val="auto"/>
          <w:kern w:val="0"/>
          <w:sz w:val="32"/>
          <w:szCs w:val="32"/>
          <w:highlight w:val="none"/>
          <w:lang w:val="en-US" w:eastAsia="zh-CN" w:bidi="ar-SA"/>
        </w:rPr>
      </w:pPr>
      <w:r>
        <w:rPr>
          <w:rFonts w:hint="default" w:ascii="仿宋_GB2312" w:hAnsi="黑体" w:eastAsia="仿宋_GB2312" w:cs="宋体"/>
          <w:bCs/>
          <w:color w:val="auto"/>
          <w:kern w:val="0"/>
          <w:sz w:val="32"/>
          <w:szCs w:val="32"/>
          <w:highlight w:val="none"/>
          <w:lang w:val="en-US" w:eastAsia="zh-CN" w:bidi="ar-SA"/>
        </w:rPr>
        <w:t>中国共产主义青年团皮山县委员会单位编制数5人（包括少工委编制），实有人数4人，其中：在职4人，增加0人；退休0人，增加0人；离休0人，增加0人。</w:t>
      </w:r>
    </w:p>
    <w:p>
      <w:pPr>
        <w:keepNext w:val="0"/>
        <w:keepLines w:val="0"/>
        <w:pageBreakBefore w:val="0"/>
        <w:widowControl w:val="0"/>
        <w:kinsoku/>
        <w:wordWrap/>
        <w:overflowPunct/>
        <w:topLinePunct w:val="0"/>
        <w:autoSpaceDE/>
        <w:autoSpaceDN/>
        <w:bidi w:val="0"/>
        <w:adjustRightInd/>
        <w:snapToGrid/>
        <w:spacing w:line="560" w:lineRule="atLeast"/>
        <w:ind w:left="198" w:right="198" w:firstLine="499"/>
        <w:jc w:val="both"/>
        <w:textAlignment w:val="auto"/>
        <w:rPr>
          <w:rFonts w:hint="default" w:ascii="Times New Roman" w:hAnsi="Times New Roman" w:eastAsia="仿宋" w:cs="Times New Roman"/>
          <w:position w:val="10"/>
          <w:sz w:val="3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ind w:left="200" w:right="200" w:firstLine="500"/>
        <w:jc w:val="center"/>
        <w:rPr>
          <w:rFonts w:hint="eastAsia" w:ascii="黑体" w:hAnsi="黑体" w:eastAsia="黑体" w:cs="黑体"/>
          <w:sz w:val="32"/>
          <w:szCs w:val="32"/>
        </w:rPr>
      </w:pPr>
      <w:r>
        <w:rPr>
          <w:rFonts w:hint="eastAsia" w:ascii="黑体" w:hAnsi="黑体" w:eastAsia="黑体" w:cs="黑体"/>
          <w:position w:val="30"/>
          <w:sz w:val="32"/>
          <w:szCs w:val="32"/>
        </w:rPr>
        <w:t>第二部分2023年单位预算公开表</w:t>
      </w:r>
    </w:p>
    <w:tbl>
      <w:tblPr>
        <w:tblStyle w:val="4"/>
        <w:tblW w:w="954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99"/>
        <w:gridCol w:w="1171"/>
        <w:gridCol w:w="3105"/>
        <w:gridCol w:w="16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29" w:hRule="atLeast"/>
        </w:trPr>
        <w:tc>
          <w:tcPr>
            <w:tcW w:w="9540" w:type="dxa"/>
            <w:gridSpan w:val="4"/>
            <w:tcBorders>
              <w:top w:val="nil"/>
              <w:left w:val="nil"/>
              <w:bottom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43" w:hRule="atLeast"/>
        </w:trPr>
        <w:tc>
          <w:tcPr>
            <w:tcW w:w="9540" w:type="dxa"/>
            <w:gridSpan w:val="4"/>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29" w:hRule="atLeast"/>
        </w:trPr>
        <w:tc>
          <w:tcPr>
            <w:tcW w:w="4770" w:type="dxa"/>
            <w:gridSpan w:val="2"/>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4770" w:type="dxa"/>
            <w:gridSpan w:val="2"/>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11" w:hRule="atLeast"/>
        </w:trPr>
        <w:tc>
          <w:tcPr>
            <w:tcW w:w="477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20"/>
                <w:szCs w:val="21"/>
              </w:rPr>
            </w:pPr>
            <w:r>
              <w:rPr>
                <w:rFonts w:hint="default" w:ascii="Times New Roman" w:hAnsi="Times New Roman" w:eastAsia="黑体" w:cs="Times New Roman"/>
                <w:position w:val="10"/>
                <w:sz w:val="18"/>
                <w:szCs w:val="21"/>
              </w:rPr>
              <w:t>收入</w:t>
            </w:r>
          </w:p>
        </w:tc>
        <w:tc>
          <w:tcPr>
            <w:tcW w:w="477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20"/>
                <w:szCs w:val="21"/>
              </w:rPr>
            </w:pPr>
            <w:r>
              <w:rPr>
                <w:rFonts w:hint="default" w:ascii="Times New Roman" w:hAnsi="Times New Roman" w:eastAsia="黑体" w:cs="Times New Roman"/>
                <w:position w:val="10"/>
                <w:sz w:val="18"/>
                <w:szCs w:val="21"/>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81"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20"/>
                <w:szCs w:val="21"/>
              </w:rPr>
            </w:pPr>
            <w:r>
              <w:rPr>
                <w:rFonts w:hint="default" w:ascii="Times New Roman" w:hAnsi="Times New Roman" w:eastAsia="黑体" w:cs="Times New Roman"/>
                <w:position w:val="10"/>
                <w:sz w:val="18"/>
                <w:szCs w:val="21"/>
              </w:rPr>
              <w:t>项目</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20"/>
                <w:szCs w:val="21"/>
              </w:rPr>
            </w:pPr>
            <w:r>
              <w:rPr>
                <w:rFonts w:hint="default" w:ascii="Times New Roman" w:hAnsi="Times New Roman" w:eastAsia="黑体" w:cs="Times New Roman"/>
                <w:position w:val="10"/>
                <w:sz w:val="18"/>
                <w:szCs w:val="21"/>
              </w:rPr>
              <w:t>预算数</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20"/>
                <w:szCs w:val="21"/>
              </w:rPr>
            </w:pPr>
            <w:r>
              <w:rPr>
                <w:rFonts w:hint="default" w:ascii="Times New Roman" w:hAnsi="Times New Roman" w:eastAsia="黑体" w:cs="Times New Roman"/>
                <w:position w:val="10"/>
                <w:sz w:val="18"/>
                <w:szCs w:val="21"/>
              </w:rPr>
              <w:t>功能分类</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20"/>
                <w:szCs w:val="21"/>
              </w:rPr>
            </w:pPr>
            <w:r>
              <w:rPr>
                <w:rFonts w:hint="default" w:ascii="Times New Roman" w:hAnsi="Times New Roman" w:eastAsia="黑体" w:cs="Times New Roman"/>
                <w:position w:val="10"/>
                <w:sz w:val="18"/>
                <w:szCs w:val="21"/>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一、本年收入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sz w:val="20"/>
                <w:szCs w:val="21"/>
                <w:lang w:val="en-US" w:eastAsia="zh-CN"/>
              </w:rPr>
            </w:pPr>
            <w:r>
              <w:rPr>
                <w:rFonts w:hint="default" w:ascii="Times New Roman" w:hAnsi="Times New Roman" w:eastAsia="黑体" w:cs="Times New Roman"/>
                <w:position w:val="8"/>
                <w:sz w:val="15"/>
                <w:szCs w:val="21"/>
              </w:rPr>
              <w:t>75.</w:t>
            </w:r>
            <w:r>
              <w:rPr>
                <w:rFonts w:hint="eastAsia" w:ascii="Times New Roman" w:hAnsi="Times New Roman" w:eastAsia="黑体" w:cs="Times New Roman"/>
                <w:position w:val="8"/>
                <w:sz w:val="15"/>
                <w:szCs w:val="21"/>
                <w:lang w:val="en-US" w:eastAsia="zh-CN"/>
              </w:rPr>
              <w:t>39</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201一般公共服务支出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sz w:val="20"/>
                <w:szCs w:val="21"/>
                <w:lang w:eastAsia="zh-CN"/>
              </w:rPr>
            </w:pPr>
            <w:r>
              <w:rPr>
                <w:rFonts w:hint="default" w:ascii="Times New Roman" w:hAnsi="Times New Roman" w:eastAsia="黑体" w:cs="Times New Roman"/>
                <w:position w:val="8"/>
                <w:sz w:val="15"/>
                <w:szCs w:val="21"/>
              </w:rPr>
              <w:t>65.0</w:t>
            </w:r>
            <w:r>
              <w:rPr>
                <w:rFonts w:hint="eastAsia" w:ascii="Times New Roman" w:hAnsi="Times New Roman" w:eastAsia="黑体" w:cs="Times New Roman"/>
                <w:position w:val="8"/>
                <w:sz w:val="15"/>
                <w:szCs w:val="21"/>
                <w:lang w:val="en-US" w:eastAsia="zh-CN"/>
              </w:rPr>
              <w:t>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21"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1.一般公共预算拨款</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sz w:val="20"/>
                <w:szCs w:val="21"/>
                <w:lang w:val="en-US" w:eastAsia="zh-CN"/>
              </w:rPr>
            </w:pPr>
            <w:r>
              <w:rPr>
                <w:rFonts w:hint="default" w:ascii="Times New Roman" w:hAnsi="Times New Roman" w:eastAsia="黑体" w:cs="Times New Roman"/>
                <w:position w:val="8"/>
                <w:sz w:val="15"/>
                <w:szCs w:val="21"/>
              </w:rPr>
              <w:t>75.</w:t>
            </w:r>
            <w:r>
              <w:rPr>
                <w:rFonts w:hint="eastAsia" w:ascii="Times New Roman" w:hAnsi="Times New Roman" w:eastAsia="黑体" w:cs="Times New Roman"/>
                <w:position w:val="8"/>
                <w:sz w:val="15"/>
                <w:szCs w:val="21"/>
                <w:lang w:val="en-US" w:eastAsia="zh-CN"/>
              </w:rPr>
              <w:t>39</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202外交支出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其中：一般财力</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sz w:val="20"/>
                <w:szCs w:val="21"/>
                <w:lang w:val="en-US"/>
              </w:rPr>
            </w:pPr>
            <w:r>
              <w:rPr>
                <w:rFonts w:hint="default" w:ascii="Times New Roman" w:hAnsi="Times New Roman" w:eastAsia="黑体" w:cs="Times New Roman"/>
                <w:position w:val="8"/>
                <w:sz w:val="15"/>
                <w:szCs w:val="21"/>
              </w:rPr>
              <w:t>75.</w:t>
            </w:r>
            <w:r>
              <w:rPr>
                <w:rFonts w:hint="eastAsia" w:ascii="Times New Roman" w:hAnsi="Times New Roman" w:eastAsia="黑体" w:cs="Times New Roman"/>
                <w:position w:val="8"/>
                <w:sz w:val="15"/>
                <w:szCs w:val="21"/>
                <w:lang w:val="en-US" w:eastAsia="zh-CN"/>
              </w:rPr>
              <w:t>39</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203国防支出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上级一般公共预算安排转移支付</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204公共安全支出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21"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2.基金预算拨款</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205教育支出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其中：政府性基金收入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206科学技术支出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上级政府性基金安排转移支付</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207文化旅游体育与传媒支出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3.国有资本经营预算拨款</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208社会保障和就业支出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sz w:val="20"/>
                <w:szCs w:val="21"/>
              </w:rPr>
            </w:pPr>
            <w:r>
              <w:rPr>
                <w:rFonts w:hint="default" w:ascii="Times New Roman" w:hAnsi="Times New Roman" w:eastAsia="黑体" w:cs="Times New Roman"/>
                <w:position w:val="8"/>
                <w:sz w:val="15"/>
                <w:szCs w:val="21"/>
              </w:rPr>
              <w:t>10.32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其中：国有资本经营收入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209社会保险基金支出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66"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上级国有资本经营预算安排转移支付</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210卫生健康支出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4.财政专户核拨</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211节能环保支出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5.单位资金</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212城乡社区支出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其中：事业收入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213农林水支出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上级补助收入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214交通运输支出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附属单位上缴收入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215资源勘探工业信息等支出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事业单位经营收入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216商业服务业等支出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21"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其他收入</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217金融支出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二、上年结转结余</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sz w:val="20"/>
                <w:szCs w:val="21"/>
              </w:rPr>
            </w:pPr>
            <w:r>
              <w:rPr>
                <w:rFonts w:hint="default" w:ascii="Times New Roman" w:hAnsi="Times New Roman" w:eastAsia="黑体" w:cs="Times New Roman"/>
                <w:position w:val="8"/>
                <w:sz w:val="15"/>
                <w:szCs w:val="21"/>
              </w:rPr>
              <w:t>9.39</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219援助其他地区支出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1.财政拨款结转</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sz w:val="20"/>
                <w:szCs w:val="21"/>
              </w:rPr>
            </w:pPr>
            <w:r>
              <w:rPr>
                <w:rFonts w:hint="default" w:ascii="Times New Roman" w:hAnsi="Times New Roman" w:eastAsia="黑体" w:cs="Times New Roman"/>
                <w:position w:val="8"/>
                <w:sz w:val="15"/>
                <w:szCs w:val="21"/>
              </w:rPr>
              <w:t>9.39</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220自然资源海洋气象等支出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其中：一般公共预算拨款</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sz w:val="20"/>
                <w:szCs w:val="21"/>
              </w:rPr>
            </w:pPr>
            <w:r>
              <w:rPr>
                <w:rFonts w:hint="default" w:ascii="Times New Roman" w:hAnsi="Times New Roman" w:eastAsia="黑体" w:cs="Times New Roman"/>
                <w:position w:val="8"/>
                <w:sz w:val="15"/>
                <w:szCs w:val="21"/>
              </w:rPr>
              <w:t>9.39</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221住房保障支出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21"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基金预算拨款</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222粮油物资储备支出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国有资本经营预算拨款</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223国有资本经营预算支出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2.非财政拨款结转结余</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224灾害防治及应急管理支出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其中：财政专户核拨</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227预备费</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单位资金</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229其他支出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sz w:val="20"/>
                <w:szCs w:val="21"/>
              </w:rPr>
            </w:pPr>
            <w:r>
              <w:rPr>
                <w:rFonts w:hint="default" w:ascii="Times New Roman" w:hAnsi="Times New Roman" w:eastAsia="黑体" w:cs="Times New Roman"/>
                <w:position w:val="8"/>
                <w:sz w:val="15"/>
                <w:szCs w:val="21"/>
              </w:rPr>
              <w:t>9.39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sz w:val="20"/>
                <w:szCs w:val="21"/>
                <w:lang w:eastAsia="zh-CN"/>
              </w:rPr>
            </w:pP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230转移性支出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sz w:val="20"/>
                <w:szCs w:val="21"/>
                <w:lang w:eastAsia="zh-CN"/>
              </w:rPr>
            </w:pP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231债务还本支出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sz w:val="20"/>
                <w:szCs w:val="21"/>
                <w:lang w:eastAsia="zh-CN"/>
              </w:rPr>
            </w:pP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232债务付息支出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sz w:val="20"/>
                <w:szCs w:val="21"/>
                <w:lang w:eastAsia="zh-CN"/>
              </w:rPr>
            </w:pP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233债务发行费用支出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3"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sz w:val="20"/>
                <w:szCs w:val="21"/>
                <w:lang w:eastAsia="zh-CN"/>
              </w:rPr>
            </w:pP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234抗疫特别国债安排的支出</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sz w:val="20"/>
                <w:szCs w:val="21"/>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36" w:hRule="atLeast"/>
        </w:trPr>
        <w:tc>
          <w:tcPr>
            <w:tcW w:w="359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收入总计</w:t>
            </w:r>
          </w:p>
        </w:tc>
        <w:tc>
          <w:tcPr>
            <w:tcW w:w="117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sz w:val="20"/>
                <w:szCs w:val="21"/>
                <w:lang w:val="en-US" w:eastAsia="zh-CN"/>
              </w:rPr>
            </w:pPr>
            <w:r>
              <w:rPr>
                <w:rFonts w:hint="default" w:ascii="Times New Roman" w:hAnsi="Times New Roman" w:eastAsia="黑体" w:cs="Times New Roman"/>
                <w:position w:val="8"/>
                <w:sz w:val="15"/>
                <w:szCs w:val="21"/>
              </w:rPr>
              <w:t>84.7</w:t>
            </w:r>
            <w:r>
              <w:rPr>
                <w:rFonts w:hint="eastAsia" w:ascii="Times New Roman" w:hAnsi="Times New Roman" w:eastAsia="黑体" w:cs="Times New Roman"/>
                <w:position w:val="8"/>
                <w:sz w:val="15"/>
                <w:szCs w:val="21"/>
                <w:lang w:val="en-US" w:eastAsia="zh-CN"/>
              </w:rPr>
              <w:t>8</w:t>
            </w:r>
          </w:p>
        </w:tc>
        <w:tc>
          <w:tcPr>
            <w:tcW w:w="310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sz w:val="20"/>
                <w:szCs w:val="21"/>
              </w:rPr>
            </w:pPr>
            <w:r>
              <w:rPr>
                <w:rFonts w:hint="default" w:ascii="Times New Roman" w:hAnsi="Times New Roman" w:eastAsia="仿宋" w:cs="Times New Roman"/>
                <w:position w:val="8"/>
                <w:sz w:val="18"/>
                <w:szCs w:val="21"/>
              </w:rPr>
              <w:t>支出总计</w:t>
            </w:r>
          </w:p>
        </w:tc>
        <w:tc>
          <w:tcPr>
            <w:tcW w:w="166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sz w:val="20"/>
                <w:szCs w:val="21"/>
                <w:lang w:eastAsia="zh-CN"/>
              </w:rPr>
            </w:pPr>
            <w:r>
              <w:rPr>
                <w:rFonts w:hint="default" w:ascii="Times New Roman" w:hAnsi="Times New Roman" w:eastAsia="黑体" w:cs="Times New Roman"/>
                <w:position w:val="8"/>
                <w:sz w:val="15"/>
                <w:szCs w:val="21"/>
              </w:rPr>
              <w:t>84.7</w:t>
            </w:r>
            <w:r>
              <w:rPr>
                <w:rFonts w:hint="eastAsia" w:ascii="Times New Roman" w:hAnsi="Times New Roman" w:eastAsia="黑体" w:cs="Times New Roman"/>
                <w:position w:val="8"/>
                <w:sz w:val="15"/>
                <w:szCs w:val="21"/>
                <w:lang w:val="en-US" w:eastAsia="zh-CN"/>
              </w:rPr>
              <w:t>8</w:t>
            </w:r>
          </w:p>
        </w:tc>
      </w:tr>
    </w:tbl>
    <w:p>
      <w:pPr>
        <w:rPr>
          <w:rFonts w:hint="default" w:ascii="Times New Roman" w:hAnsi="Times New Roman" w:cs="Times New Roman"/>
        </w:rPr>
      </w:pPr>
    </w:p>
    <w:p>
      <w:pPr>
        <w:rPr>
          <w:rFonts w:hint="default" w:ascii="Times New Roman" w:hAnsi="Times New Roman" w:cs="Times New Roman"/>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39"/>
        <w:gridCol w:w="375"/>
        <w:gridCol w:w="330"/>
        <w:gridCol w:w="956"/>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4200" w:type="dxa"/>
            <w:gridSpan w:val="8"/>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4"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功能分类编码</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功能分类科目名称</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总计</w:t>
            </w:r>
          </w:p>
        </w:tc>
        <w:tc>
          <w:tcPr>
            <w:tcW w:w="3150" w:type="dxa"/>
            <w:gridSpan w:val="6"/>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财政拨款（补助）</w:t>
            </w:r>
          </w:p>
        </w:tc>
        <w:tc>
          <w:tcPr>
            <w:tcW w:w="525" w:type="dxa"/>
            <w:vMerge w:val="restart"/>
            <w:tcBorders>
              <w:top w:val="single" w:color="auto" w:sz="0" w:space="0"/>
              <w:left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财政专户（教育收费）</w:t>
            </w:r>
          </w:p>
        </w:tc>
        <w:tc>
          <w:tcPr>
            <w:tcW w:w="525" w:type="dxa"/>
            <w:vMerge w:val="restart"/>
            <w:tcBorders>
              <w:top w:val="single" w:color="auto" w:sz="0" w:space="0"/>
              <w:left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单位资金</w:t>
            </w:r>
          </w:p>
        </w:tc>
        <w:tc>
          <w:tcPr>
            <w:tcW w:w="525" w:type="dxa"/>
            <w:vMerge w:val="restart"/>
            <w:tcBorders>
              <w:top w:val="single" w:color="auto" w:sz="0" w:space="0"/>
              <w:left w:val="single" w:color="auto" w:sz="0" w:space="0"/>
              <w:right w:val="single" w:color="auto" w:sz="0" w:space="0"/>
            </w:tcBorders>
            <w:shd w:val="clear" w:color="auto" w:fill="auto"/>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财政拨款结转</w:t>
            </w:r>
          </w:p>
        </w:tc>
        <w:tc>
          <w:tcPr>
            <w:tcW w:w="525" w:type="dxa"/>
            <w:vMerge w:val="restart"/>
            <w:tcBorders>
              <w:top w:val="single" w:color="auto" w:sz="0" w:space="0"/>
              <w:left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类</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款</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w:t>
            </w:r>
          </w:p>
        </w:tc>
        <w:tc>
          <w:tcPr>
            <w:tcW w:w="956" w:type="dxa"/>
          </w:tcPr>
          <w:p>
            <w:pPr>
              <w:rPr>
                <w:rFonts w:hint="default" w:ascii="Times New Roman" w:hAnsi="Times New Roman" w:cs="Times New Roman"/>
              </w:rPr>
            </w:pPr>
          </w:p>
        </w:tc>
        <w:tc>
          <w:tcPr>
            <w:tcW w:w="525" w:type="dxa"/>
          </w:tcPr>
          <w:p>
            <w:pPr>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上级国有资本经营预算安排的转移支付</w:t>
            </w:r>
          </w:p>
        </w:tc>
        <w:tc>
          <w:tcPr>
            <w:tcW w:w="525" w:type="dxa"/>
            <w:vMerge w:val="continue"/>
            <w:tcBorders>
              <w:left w:val="single" w:color="auto" w:sz="0" w:space="0"/>
              <w:right w:val="single" w:color="auto" w:sz="0" w:space="0"/>
            </w:tcBorders>
          </w:tcPr>
          <w:p>
            <w:pPr>
              <w:rPr>
                <w:rFonts w:hint="default" w:ascii="Times New Roman" w:hAnsi="Times New Roman" w:cs="Times New Roman"/>
              </w:rPr>
            </w:pPr>
          </w:p>
        </w:tc>
        <w:tc>
          <w:tcPr>
            <w:tcW w:w="525" w:type="dxa"/>
            <w:vMerge w:val="continue"/>
            <w:tcBorders>
              <w:left w:val="single" w:color="auto" w:sz="0" w:space="0"/>
              <w:right w:val="single" w:color="auto" w:sz="0" w:space="0"/>
            </w:tcBorders>
          </w:tcPr>
          <w:p>
            <w:pPr>
              <w:rPr>
                <w:rFonts w:hint="default" w:ascii="Times New Roman" w:hAnsi="Times New Roman" w:cs="Times New Roman"/>
              </w:rPr>
            </w:pPr>
          </w:p>
        </w:tc>
        <w:tc>
          <w:tcPr>
            <w:tcW w:w="525" w:type="dxa"/>
            <w:vMerge w:val="continue"/>
            <w:tcBorders>
              <w:left w:val="single" w:color="auto" w:sz="0" w:space="0"/>
              <w:right w:val="single" w:color="auto" w:sz="0" w:space="0"/>
            </w:tcBorders>
            <w:shd w:val="clear" w:color="auto" w:fill="auto"/>
          </w:tcPr>
          <w:p>
            <w:pPr>
              <w:rPr>
                <w:rFonts w:hint="default" w:ascii="Times New Roman" w:hAnsi="Times New Roman" w:cs="Times New Roman"/>
              </w:rPr>
            </w:pPr>
          </w:p>
        </w:tc>
        <w:tc>
          <w:tcPr>
            <w:tcW w:w="525" w:type="dxa"/>
            <w:vMerge w:val="continue"/>
            <w:tcBorders>
              <w:left w:val="single" w:color="auto" w:sz="0" w:space="0"/>
              <w:right w:val="single" w:color="auto" w:sz="0" w:space="0"/>
            </w:tcBorders>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val="en-US"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29</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群众团体事务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29</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01</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06</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229</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229</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99</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229</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99</w:t>
            </w: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99</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3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84.7</w:t>
            </w:r>
            <w:r>
              <w:rPr>
                <w:rFonts w:hint="eastAsia" w:ascii="Times New Roman" w:hAnsi="Times New Roman" w:eastAsia="黑体" w:cs="Times New Roman"/>
                <w:position w:val="8"/>
                <w:sz w:val="16"/>
                <w:lang w:val="en-US" w:eastAsia="zh-CN"/>
              </w:rPr>
              <w:t>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bl>
    <w:p>
      <w:pPr>
        <w:rPr>
          <w:rFonts w:hint="default" w:ascii="Times New Roman" w:hAnsi="Times New Roman" w:cs="Times New Roman"/>
        </w:rPr>
      </w:pPr>
      <w:r>
        <w:rPr>
          <w:rFonts w:hint="default" w:ascii="Times New Roman" w:hAnsi="Times New Roman" w:cs="Times New Roman"/>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44"/>
        <w:gridCol w:w="585"/>
        <w:gridCol w:w="551"/>
        <w:gridCol w:w="1680"/>
        <w:gridCol w:w="1189"/>
        <w:gridCol w:w="491"/>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49" w:type="dxa"/>
            <w:gridSpan w:val="5"/>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3851" w:type="dxa"/>
            <w:gridSpan w:val="3"/>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w:t>
            </w:r>
          </w:p>
        </w:tc>
        <w:tc>
          <w:tcPr>
            <w:tcW w:w="5040"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类</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款</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w:t>
            </w:r>
          </w:p>
        </w:tc>
        <w:tc>
          <w:tcPr>
            <w:tcW w:w="1680" w:type="dxa"/>
          </w:tcPr>
          <w:p>
            <w:pPr>
              <w:rPr>
                <w:rFonts w:hint="default" w:ascii="Times New Roman" w:hAnsi="Times New Roman" w:cs="Times New Roman"/>
              </w:rPr>
            </w:pPr>
          </w:p>
        </w:tc>
        <w:tc>
          <w:tcPr>
            <w:tcW w:w="1680"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一般公共服务支出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29</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群众团体事务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29</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行政运行</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val="en-US"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leftChars="0"/>
              <w:jc w:val="right"/>
              <w:rPr>
                <w:rFonts w:hint="default" w:ascii="Times New Roman" w:hAnsi="Times New Roman" w:cs="Times New Roma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社会保障和就业支出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行政事业单位养老支出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机关事业单位基本养老保险缴费支出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机关事业单位职业年金缴费支出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229</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其他支出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229</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99</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其他支出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229</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99</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其他支出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84.7</w:t>
            </w:r>
            <w:r>
              <w:rPr>
                <w:rFonts w:hint="eastAsia" w:ascii="Times New Roman" w:hAnsi="Times New Roman" w:eastAsia="黑体" w:cs="Times New Roman"/>
                <w:position w:val="8"/>
                <w:sz w:val="16"/>
                <w:lang w:val="en-US" w:eastAsia="zh-CN"/>
              </w:rPr>
              <w:t>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9.39</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W w:w="966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413"/>
        <w:gridCol w:w="588"/>
        <w:gridCol w:w="3080"/>
        <w:gridCol w:w="883"/>
        <w:gridCol w:w="701"/>
        <w:gridCol w:w="883"/>
        <w:gridCol w:w="11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44" w:hRule="atLeast"/>
        </w:trPr>
        <w:tc>
          <w:tcPr>
            <w:tcW w:w="9660" w:type="dxa"/>
            <w:gridSpan w:val="7"/>
            <w:tcBorders>
              <w:top w:val="nil"/>
              <w:left w:val="nil"/>
              <w:bottom w:val="nil"/>
              <w:right w:val="nil"/>
            </w:tcBorders>
            <w:vAlign w:val="center"/>
          </w:tcPr>
          <w:p>
            <w:pPr>
              <w:rPr>
                <w:rFonts w:hint="default" w:ascii="Times New Roman" w:hAnsi="Times New Roman" w:cs="Times New Roman"/>
              </w:rPr>
            </w:pPr>
            <w:r>
              <w:rPr>
                <w:rFonts w:hint="default" w:ascii="Times New Roman" w:hAnsi="Times New Roman" w:eastAsia="仿宋" w:cs="Times New Roman"/>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47" w:hRule="atLeast"/>
        </w:trPr>
        <w:tc>
          <w:tcPr>
            <w:tcW w:w="9660" w:type="dxa"/>
            <w:gridSpan w:val="7"/>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98" w:hRule="atLeast"/>
        </w:trPr>
        <w:tc>
          <w:tcPr>
            <w:tcW w:w="6081" w:type="dxa"/>
            <w:gridSpan w:val="3"/>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3579" w:type="dxa"/>
            <w:gridSpan w:val="4"/>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2" w:hRule="atLeast"/>
        </w:trPr>
        <w:tc>
          <w:tcPr>
            <w:tcW w:w="6081"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财政拨款收入</w:t>
            </w:r>
          </w:p>
        </w:tc>
        <w:tc>
          <w:tcPr>
            <w:tcW w:w="3579"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20"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w:t>
            </w: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一般公共预算</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政府性基金预算</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79"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一、财政拨款（补助）</w:t>
            </w: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201一般公共服务支出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89"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firstLine="400" w:firstLineChars="200"/>
              <w:jc w:val="left"/>
              <w:rPr>
                <w:rFonts w:hint="default" w:ascii="Times New Roman" w:hAnsi="Times New Roman" w:cs="Times New Roman"/>
              </w:rPr>
            </w:pPr>
            <w:r>
              <w:rPr>
                <w:rFonts w:hint="default" w:ascii="Times New Roman" w:hAnsi="Times New Roman" w:eastAsia="仿宋" w:cs="Times New Roman"/>
                <w:position w:val="8"/>
                <w:sz w:val="20"/>
              </w:rPr>
              <w:t>一般公共预算</w:t>
            </w: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202外交支出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19"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firstLine="400" w:firstLineChars="200"/>
              <w:jc w:val="left"/>
              <w:rPr>
                <w:rFonts w:hint="default" w:ascii="Times New Roman" w:hAnsi="Times New Roman" w:cs="Times New Roman"/>
              </w:rPr>
            </w:pPr>
            <w:r>
              <w:rPr>
                <w:rFonts w:hint="default" w:ascii="Times New Roman" w:hAnsi="Times New Roman" w:eastAsia="仿宋" w:cs="Times New Roman"/>
                <w:position w:val="8"/>
                <w:sz w:val="20"/>
              </w:rPr>
              <w:t>政府性基金预算</w:t>
            </w: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203国防支出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49"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firstLine="400" w:firstLineChars="200"/>
              <w:jc w:val="left"/>
              <w:rPr>
                <w:rFonts w:hint="default" w:ascii="Times New Roman" w:hAnsi="Times New Roman" w:cs="Times New Roman"/>
              </w:rPr>
            </w:pPr>
            <w:r>
              <w:rPr>
                <w:rFonts w:hint="default" w:ascii="Times New Roman" w:hAnsi="Times New Roman" w:eastAsia="仿宋" w:cs="Times New Roman"/>
                <w:position w:val="8"/>
                <w:sz w:val="20"/>
              </w:rPr>
              <w:t>国有资本经营预算</w:t>
            </w: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204公共安全支出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205教育支出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206科学技术支出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207文化旅游体育与传媒支出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208社会保障和就业支出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209社会保险基金支出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210卫生健康支出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211节能环保支出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212城乡社区支出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213农林水支出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214交通运输支出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215资源勘探工业信息等支出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216商业服务业等支出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217金融支出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219援助其他地区支出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220自然资源海洋气象等支出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221住房保障支出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222粮油物资储备支出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223国有资本经营预算支出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224灾害防治及应急管理支出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227预备费</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229其他支出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230转移性支出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231债务还本支出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232债务付息支出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233债务发行费用支出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234抗疫特别国债安排的支出</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2413"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收入总计</w:t>
            </w:r>
          </w:p>
        </w:tc>
        <w:tc>
          <w:tcPr>
            <w:tcW w:w="588"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30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支出总计</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883"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bl>
    <w:p>
      <w:pPr>
        <w:jc w:val="left"/>
        <w:rPr>
          <w:rFonts w:hint="default" w:ascii="Times New Roman" w:hAnsi="Times New Roman" w:eastAsia="仿宋" w:cs="Times New Roman"/>
          <w:position w:val="8"/>
          <w:sz w:val="20"/>
        </w:rPr>
      </w:pPr>
      <w:r>
        <w:rPr>
          <w:rFonts w:hint="default" w:ascii="Times New Roman" w:hAnsi="Times New Roman" w:eastAsia="仿宋" w:cs="Times New Roman"/>
          <w:position w:val="8"/>
          <w:sz w:val="20"/>
        </w:rPr>
        <w:br w:type="page"/>
      </w:r>
    </w:p>
    <w:tbl>
      <w:tblPr>
        <w:tblStyle w:val="4"/>
        <w:tblW w:w="9438"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48"/>
        <w:gridCol w:w="506"/>
        <w:gridCol w:w="520"/>
        <w:gridCol w:w="3571"/>
        <w:gridCol w:w="1307"/>
        <w:gridCol w:w="1136"/>
        <w:gridCol w:w="16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15" w:hRule="atLeast"/>
        </w:trPr>
        <w:tc>
          <w:tcPr>
            <w:tcW w:w="9438" w:type="dxa"/>
            <w:gridSpan w:val="7"/>
            <w:tcBorders>
              <w:top w:val="nil"/>
              <w:left w:val="nil"/>
              <w:bottom w:val="nil"/>
              <w:right w:val="nil"/>
            </w:tcBorders>
            <w:vAlign w:val="center"/>
          </w:tcPr>
          <w:p>
            <w:pPr>
              <w:jc w:val="left"/>
              <w:rPr>
                <w:rFonts w:hint="default" w:ascii="Times New Roman" w:hAnsi="Times New Roman" w:cs="Times New Roman"/>
              </w:rPr>
            </w:pPr>
            <w:r>
              <w:rPr>
                <w:rFonts w:hint="default" w:ascii="Times New Roman" w:hAnsi="Times New Roman" w:eastAsia="仿宋" w:cs="Times New Roman"/>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39" w:hRule="atLeast"/>
        </w:trPr>
        <w:tc>
          <w:tcPr>
            <w:tcW w:w="9438" w:type="dxa"/>
            <w:gridSpan w:val="7"/>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98" w:hRule="atLeast"/>
        </w:trPr>
        <w:tc>
          <w:tcPr>
            <w:tcW w:w="5345" w:type="dxa"/>
            <w:gridSpan w:val="4"/>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4093" w:type="dxa"/>
            <w:gridSpan w:val="3"/>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2" w:hRule="atLeast"/>
        </w:trPr>
        <w:tc>
          <w:tcPr>
            <w:tcW w:w="5345"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w:t>
            </w:r>
          </w:p>
        </w:tc>
        <w:tc>
          <w:tcPr>
            <w:tcW w:w="4093"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2" w:hRule="atLeast"/>
        </w:trPr>
        <w:tc>
          <w:tcPr>
            <w:tcW w:w="1774"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功能分类科目编码</w:t>
            </w: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功能分类科目名称</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基本支出</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2"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类</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款</w:t>
            </w: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w:t>
            </w:r>
          </w:p>
        </w:tc>
        <w:tc>
          <w:tcPr>
            <w:tcW w:w="3571" w:type="dxa"/>
          </w:tcPr>
          <w:p>
            <w:pPr>
              <w:rPr>
                <w:rFonts w:hint="default" w:ascii="Times New Roman" w:hAnsi="Times New Roman" w:cs="Times New Roman"/>
              </w:rPr>
            </w:pPr>
          </w:p>
        </w:tc>
        <w:tc>
          <w:tcPr>
            <w:tcW w:w="1307" w:type="dxa"/>
          </w:tcPr>
          <w:p>
            <w:pPr>
              <w:rPr>
                <w:rFonts w:hint="default" w:ascii="Times New Roman" w:hAnsi="Times New Roman" w:cs="Times New Roman"/>
              </w:rPr>
            </w:pPr>
          </w:p>
        </w:tc>
        <w:tc>
          <w:tcPr>
            <w:tcW w:w="1136" w:type="dxa"/>
          </w:tcPr>
          <w:p>
            <w:pPr>
              <w:rPr>
                <w:rFonts w:hint="default" w:ascii="Times New Roman" w:hAnsi="Times New Roman" w:cs="Times New Roman"/>
              </w:rPr>
            </w:pPr>
          </w:p>
        </w:tc>
        <w:tc>
          <w:tcPr>
            <w:tcW w:w="165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一般公共服务支出</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29</w:t>
            </w: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群众团体事务</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201</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29</w:t>
            </w: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01</w:t>
            </w: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行政运行</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65.0</w:t>
            </w:r>
            <w:r>
              <w:rPr>
                <w:rFonts w:hint="eastAsia" w:ascii="Times New Roman" w:hAnsi="Times New Roman" w:eastAsia="黑体" w:cs="Times New Roman"/>
                <w:position w:val="8"/>
                <w:sz w:val="16"/>
                <w:lang w:val="en-US" w:eastAsia="zh-CN"/>
              </w:rPr>
              <w:t>7</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社会保障和就业支出</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行政事业单位养老支出</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10.32</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34"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机关事业单位基本养老保险缴费支出</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6.88</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6.88</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3"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208</w:t>
            </w: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05</w:t>
            </w: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06</w:t>
            </w: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机关事业单位职业年金缴费支出</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7" w:hRule="atLeast"/>
        </w:trPr>
        <w:tc>
          <w:tcPr>
            <w:tcW w:w="74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57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合计</w:t>
            </w:r>
          </w:p>
        </w:tc>
        <w:tc>
          <w:tcPr>
            <w:tcW w:w="1307"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165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bl>
    <w:p>
      <w:pPr>
        <w:rPr>
          <w:rFonts w:hint="default" w:ascii="Times New Roman" w:hAnsi="Times New Roman" w:cs="Times New Roman"/>
        </w:rPr>
      </w:pPr>
      <w:r>
        <w:rPr>
          <w:rFonts w:hint="default" w:ascii="Times New Roman" w:hAnsi="Times New Roman" w:cs="Times New Roman"/>
        </w:rPr>
        <w:br w:type="textWrapping"/>
      </w:r>
    </w:p>
    <w:tbl>
      <w:tblPr>
        <w:tblStyle w:val="4"/>
        <w:tblW w:w="9695"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10"/>
        <w:gridCol w:w="329"/>
        <w:gridCol w:w="359"/>
        <w:gridCol w:w="65"/>
        <w:gridCol w:w="535"/>
        <w:gridCol w:w="550"/>
        <w:gridCol w:w="947"/>
        <w:gridCol w:w="607"/>
        <w:gridCol w:w="449"/>
        <w:gridCol w:w="629"/>
        <w:gridCol w:w="437"/>
        <w:gridCol w:w="81"/>
        <w:gridCol w:w="494"/>
        <w:gridCol w:w="510"/>
        <w:gridCol w:w="142"/>
        <w:gridCol w:w="494"/>
        <w:gridCol w:w="402"/>
        <w:gridCol w:w="384"/>
        <w:gridCol w:w="450"/>
        <w:gridCol w:w="629"/>
        <w:gridCol w:w="677"/>
        <w:gridCol w:w="1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96" w:hRule="atLeast"/>
        </w:trPr>
        <w:tc>
          <w:tcPr>
            <w:tcW w:w="9695" w:type="dxa"/>
            <w:gridSpan w:val="22"/>
            <w:tcBorders>
              <w:top w:val="nil"/>
              <w:left w:val="nil"/>
              <w:bottom w:val="nil"/>
              <w:right w:val="nil"/>
            </w:tcBorders>
            <w:vAlign w:val="center"/>
          </w:tcPr>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cs="Times New Roman"/>
              </w:rPr>
            </w:pPr>
            <w:r>
              <w:rPr>
                <w:rFonts w:hint="default" w:ascii="Times New Roman" w:hAnsi="Times New Roman" w:eastAsia="仿宋" w:cs="Times New Roman"/>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44" w:hRule="atLeast"/>
        </w:trPr>
        <w:tc>
          <w:tcPr>
            <w:tcW w:w="9695" w:type="dxa"/>
            <w:gridSpan w:val="22"/>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96" w:hRule="atLeast"/>
        </w:trPr>
        <w:tc>
          <w:tcPr>
            <w:tcW w:w="5417" w:type="dxa"/>
            <w:gridSpan w:val="11"/>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4278" w:type="dxa"/>
            <w:gridSpan w:val="11"/>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1" w:hRule="atLeast"/>
        </w:trPr>
        <w:tc>
          <w:tcPr>
            <w:tcW w:w="5417" w:type="dxa"/>
            <w:gridSpan w:val="11"/>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w:t>
            </w:r>
          </w:p>
        </w:tc>
        <w:tc>
          <w:tcPr>
            <w:tcW w:w="4278" w:type="dxa"/>
            <w:gridSpan w:val="11"/>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1" w:hRule="atLeast"/>
        </w:trPr>
        <w:tc>
          <w:tcPr>
            <w:tcW w:w="2348" w:type="dxa"/>
            <w:gridSpan w:val="6"/>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经济分类科目编码</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经济分类科目名称</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人员经费</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类</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款</w:t>
            </w:r>
          </w:p>
        </w:tc>
        <w:tc>
          <w:tcPr>
            <w:tcW w:w="3069" w:type="dxa"/>
            <w:gridSpan w:val="5"/>
          </w:tcPr>
          <w:p>
            <w:pPr>
              <w:rPr>
                <w:rFonts w:hint="default" w:ascii="Times New Roman" w:hAnsi="Times New Roman" w:cs="Times New Roman"/>
              </w:rPr>
            </w:pPr>
          </w:p>
        </w:tc>
        <w:tc>
          <w:tcPr>
            <w:tcW w:w="1085" w:type="dxa"/>
            <w:gridSpan w:val="3"/>
          </w:tcPr>
          <w:p>
            <w:pPr>
              <w:rPr>
                <w:rFonts w:hint="default" w:ascii="Times New Roman" w:hAnsi="Times New Roman" w:cs="Times New Roman"/>
              </w:rPr>
            </w:pPr>
          </w:p>
        </w:tc>
        <w:tc>
          <w:tcPr>
            <w:tcW w:w="1038" w:type="dxa"/>
            <w:gridSpan w:val="3"/>
          </w:tcPr>
          <w:p>
            <w:pPr>
              <w:rPr>
                <w:rFonts w:hint="default" w:ascii="Times New Roman" w:hAnsi="Times New Roman" w:cs="Times New Roman"/>
              </w:rPr>
            </w:pPr>
          </w:p>
        </w:tc>
        <w:tc>
          <w:tcPr>
            <w:tcW w:w="2155" w:type="dxa"/>
            <w:gridSpan w:val="5"/>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工资福利支出</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69.8</w:t>
            </w:r>
            <w:r>
              <w:rPr>
                <w:rFonts w:hint="eastAsia" w:ascii="Times New Roman" w:hAnsi="Times New Roman" w:eastAsia="黑体" w:cs="Times New Roman"/>
                <w:position w:val="8"/>
                <w:sz w:val="16"/>
                <w:lang w:val="en-US" w:eastAsia="zh-CN"/>
              </w:rPr>
              <w:t>5</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69.8</w:t>
            </w:r>
            <w:r>
              <w:rPr>
                <w:rFonts w:hint="eastAsia" w:ascii="Times New Roman" w:hAnsi="Times New Roman" w:eastAsia="黑体" w:cs="Times New Roman"/>
                <w:position w:val="8"/>
                <w:sz w:val="16"/>
                <w:lang w:val="en-US" w:eastAsia="zh-CN"/>
              </w:rPr>
              <w:t>5</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01</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基本工资</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15.31</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15.31</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02</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津贴补贴</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27.87</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27.87</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03</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奖金</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5.26</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5.26</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08</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机关事业单位基本养老保险缴费</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6.8</w:t>
            </w:r>
            <w:r>
              <w:rPr>
                <w:rFonts w:hint="eastAsia" w:ascii="Times New Roman" w:hAnsi="Times New Roman" w:eastAsia="黑体" w:cs="Times New Roman"/>
                <w:position w:val="8"/>
                <w:sz w:val="16"/>
                <w:lang w:val="en-US" w:eastAsia="zh-CN"/>
              </w:rPr>
              <w:t>8</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eastAsia="zh-CN"/>
              </w:rPr>
            </w:pPr>
            <w:r>
              <w:rPr>
                <w:rFonts w:hint="default" w:ascii="Times New Roman" w:hAnsi="Times New Roman" w:eastAsia="黑体" w:cs="Times New Roman"/>
                <w:position w:val="8"/>
                <w:sz w:val="16"/>
              </w:rPr>
              <w:t>6.8</w:t>
            </w:r>
            <w:r>
              <w:rPr>
                <w:rFonts w:hint="eastAsia" w:ascii="Times New Roman" w:hAnsi="Times New Roman" w:eastAsia="黑体" w:cs="Times New Roman"/>
                <w:position w:val="8"/>
                <w:sz w:val="16"/>
                <w:lang w:val="en-US" w:eastAsia="zh-CN"/>
              </w:rPr>
              <w:t>8</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09</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职业年金缴费</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10</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城镇职工基本医疗保险缴费</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val="en-US" w:eastAsia="zh-CN"/>
              </w:rPr>
            </w:pPr>
            <w:r>
              <w:rPr>
                <w:rFonts w:hint="default" w:ascii="Times New Roman" w:hAnsi="Times New Roman" w:eastAsia="黑体" w:cs="Times New Roman"/>
                <w:position w:val="8"/>
                <w:sz w:val="16"/>
              </w:rPr>
              <w:t>2.8</w:t>
            </w:r>
            <w:r>
              <w:rPr>
                <w:rFonts w:hint="eastAsia" w:ascii="Times New Roman" w:hAnsi="Times New Roman" w:eastAsia="黑体" w:cs="Times New Roman"/>
                <w:position w:val="8"/>
                <w:sz w:val="16"/>
                <w:lang w:val="en-US" w:eastAsia="zh-CN"/>
              </w:rPr>
              <w:t>0</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eastAsia="黑体" w:cs="Times New Roman"/>
                <w:lang w:val="en-US" w:eastAsia="zh-CN"/>
              </w:rPr>
            </w:pPr>
            <w:r>
              <w:rPr>
                <w:rFonts w:hint="default" w:ascii="Times New Roman" w:hAnsi="Times New Roman" w:eastAsia="黑体" w:cs="Times New Roman"/>
                <w:position w:val="8"/>
                <w:sz w:val="16"/>
              </w:rPr>
              <w:t>2.8</w:t>
            </w:r>
            <w:r>
              <w:rPr>
                <w:rFonts w:hint="eastAsia" w:ascii="Times New Roman" w:hAnsi="Times New Roman" w:eastAsia="黑体" w:cs="Times New Roman"/>
                <w:position w:val="8"/>
                <w:sz w:val="16"/>
                <w:lang w:val="en-US" w:eastAsia="zh-CN"/>
              </w:rPr>
              <w:t>0</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11</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公务员医疗补助缴费</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3.00</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3.00</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12</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其他社会保障缴费</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0.13</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0.13</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301</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13</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住房公积金</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5.16</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5.16</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302</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商品和服务支出</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1.6</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302</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01</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办公费</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1.6</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303</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对个人和家庭的补助支出</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3.94</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3.94</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303</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01</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离休费</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3.44</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303</w:t>
            </w: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09</w:t>
            </w: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奖励金</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0.5</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0.5</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1" w:hRule="atLeast"/>
        </w:trPr>
        <w:tc>
          <w:tcPr>
            <w:tcW w:w="1263"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08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3069" w:type="dxa"/>
            <w:gridSpan w:val="5"/>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合计</w:t>
            </w:r>
          </w:p>
        </w:tc>
        <w:tc>
          <w:tcPr>
            <w:tcW w:w="1085"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75.</w:t>
            </w:r>
            <w:r>
              <w:rPr>
                <w:rFonts w:hint="eastAsia" w:ascii="Times New Roman" w:hAnsi="Times New Roman" w:eastAsia="黑体" w:cs="Times New Roman"/>
                <w:position w:val="8"/>
                <w:sz w:val="16"/>
                <w:lang w:val="en-US" w:eastAsia="zh-CN"/>
              </w:rPr>
              <w:t>39</w:t>
            </w:r>
          </w:p>
        </w:tc>
        <w:tc>
          <w:tcPr>
            <w:tcW w:w="1038" w:type="dxa"/>
            <w:gridSpan w:val="3"/>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eastAsia="黑体" w:cs="Times New Roman"/>
                <w:lang w:val="en-US" w:eastAsia="zh-CN"/>
              </w:rPr>
            </w:pPr>
            <w:r>
              <w:rPr>
                <w:rFonts w:hint="default" w:ascii="Times New Roman" w:hAnsi="Times New Roman" w:eastAsia="黑体" w:cs="Times New Roman"/>
                <w:position w:val="8"/>
                <w:sz w:val="16"/>
              </w:rPr>
              <w:t>73</w:t>
            </w:r>
            <w:r>
              <w:rPr>
                <w:rFonts w:hint="eastAsia" w:ascii="Times New Roman" w:hAnsi="Times New Roman" w:eastAsia="黑体" w:cs="Times New Roman"/>
                <w:position w:val="8"/>
                <w:sz w:val="16"/>
                <w:lang w:val="en-US" w:eastAsia="zh-CN"/>
              </w:rPr>
              <w:t>.79</w:t>
            </w:r>
          </w:p>
        </w:tc>
        <w:tc>
          <w:tcPr>
            <w:tcW w:w="2155" w:type="dxa"/>
            <w:gridSpan w:val="5"/>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r>
              <w:rPr>
                <w:rFonts w:hint="default" w:ascii="Times New Roman" w:hAnsi="Times New Roman" w:eastAsia="黑体" w:cs="Times New Roman"/>
                <w:position w:val="8"/>
                <w:sz w:val="16"/>
              </w:rPr>
              <w:t>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315" w:hRule="atLeast"/>
        </w:trPr>
        <w:tc>
          <w:tcPr>
            <w:tcW w:w="9680" w:type="dxa"/>
            <w:gridSpan w:val="21"/>
            <w:tcBorders>
              <w:top w:val="nil"/>
              <w:left w:val="nil"/>
              <w:bottom w:val="nil"/>
              <w:right w:val="nil"/>
            </w:tcBorders>
            <w:vAlign w:val="center"/>
          </w:tcPr>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cs="Times New Roman"/>
              </w:rPr>
            </w:pPr>
            <w:r>
              <w:rPr>
                <w:rFonts w:hint="default" w:ascii="Times New Roman" w:hAnsi="Times New Roman" w:eastAsia="仿宋" w:cs="Times New Roman"/>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462" w:hRule="atLeast"/>
        </w:trPr>
        <w:tc>
          <w:tcPr>
            <w:tcW w:w="9680" w:type="dxa"/>
            <w:gridSpan w:val="21"/>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315" w:hRule="atLeast"/>
        </w:trPr>
        <w:tc>
          <w:tcPr>
            <w:tcW w:w="5498" w:type="dxa"/>
            <w:gridSpan w:val="12"/>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4182" w:type="dxa"/>
            <w:gridSpan w:val="9"/>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1549" w:hRule="atLeast"/>
        </w:trPr>
        <w:tc>
          <w:tcPr>
            <w:tcW w:w="1198"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科目编码</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科目名称</w:t>
            </w:r>
          </w:p>
        </w:tc>
        <w:tc>
          <w:tcPr>
            <w:tcW w:w="1497"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项目名称</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项目支出合计</w:t>
            </w:r>
          </w:p>
        </w:tc>
        <w:tc>
          <w:tcPr>
            <w:tcW w:w="44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工资福利支出</w:t>
            </w: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商品和服务支出</w:t>
            </w:r>
          </w:p>
        </w:tc>
        <w:tc>
          <w:tcPr>
            <w:tcW w:w="518"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对个人和家庭的补助</w:t>
            </w:r>
          </w:p>
        </w:tc>
        <w:tc>
          <w:tcPr>
            <w:tcW w:w="494"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债务利息及费用支出</w:t>
            </w:r>
          </w:p>
        </w:tc>
        <w:tc>
          <w:tcPr>
            <w:tcW w:w="65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资本性支出（基本建设）</w:t>
            </w:r>
          </w:p>
        </w:tc>
        <w:tc>
          <w:tcPr>
            <w:tcW w:w="494"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资本性支出</w:t>
            </w:r>
          </w:p>
        </w:tc>
        <w:tc>
          <w:tcPr>
            <w:tcW w:w="786"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对企业补助（基本建设）</w:t>
            </w:r>
          </w:p>
        </w:tc>
        <w:tc>
          <w:tcPr>
            <w:tcW w:w="45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对企业补助</w:t>
            </w: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对社会保障基金补助</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sz w:val="18"/>
                <w:szCs w:val="18"/>
              </w:rPr>
            </w:pPr>
            <w:r>
              <w:rPr>
                <w:rFonts w:hint="default" w:ascii="Times New Roman" w:hAnsi="Times New Roman" w:eastAsia="黑体" w:cs="Times New Roman"/>
                <w:position w:val="10"/>
                <w:sz w:val="18"/>
                <w:szCs w:val="18"/>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343" w:hRule="atLeast"/>
        </w:trPr>
        <w:tc>
          <w:tcPr>
            <w:tcW w:w="51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类</w:t>
            </w: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款</w:t>
            </w:r>
          </w:p>
        </w:tc>
        <w:tc>
          <w:tcPr>
            <w:tcW w:w="35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w:t>
            </w:r>
          </w:p>
        </w:tc>
        <w:tc>
          <w:tcPr>
            <w:tcW w:w="600" w:type="dxa"/>
            <w:gridSpan w:val="2"/>
          </w:tcPr>
          <w:p>
            <w:pPr>
              <w:rPr>
                <w:rFonts w:hint="default" w:ascii="Times New Roman" w:hAnsi="Times New Roman" w:cs="Times New Roman"/>
              </w:rPr>
            </w:pPr>
          </w:p>
        </w:tc>
        <w:tc>
          <w:tcPr>
            <w:tcW w:w="1497" w:type="dxa"/>
            <w:gridSpan w:val="2"/>
          </w:tcPr>
          <w:p>
            <w:pPr>
              <w:rPr>
                <w:rFonts w:hint="default" w:ascii="Times New Roman" w:hAnsi="Times New Roman" w:cs="Times New Roman"/>
              </w:rPr>
            </w:pPr>
          </w:p>
        </w:tc>
        <w:tc>
          <w:tcPr>
            <w:tcW w:w="607" w:type="dxa"/>
          </w:tcPr>
          <w:p>
            <w:pPr>
              <w:rPr>
                <w:rFonts w:hint="default" w:ascii="Times New Roman" w:hAnsi="Times New Roman" w:cs="Times New Roman"/>
              </w:rPr>
            </w:pPr>
          </w:p>
        </w:tc>
        <w:tc>
          <w:tcPr>
            <w:tcW w:w="449" w:type="dxa"/>
          </w:tcPr>
          <w:p>
            <w:pPr>
              <w:rPr>
                <w:rFonts w:hint="default" w:ascii="Times New Roman" w:hAnsi="Times New Roman" w:cs="Times New Roman"/>
              </w:rPr>
            </w:pPr>
          </w:p>
        </w:tc>
        <w:tc>
          <w:tcPr>
            <w:tcW w:w="629" w:type="dxa"/>
          </w:tcPr>
          <w:p>
            <w:pPr>
              <w:rPr>
                <w:rFonts w:hint="default" w:ascii="Times New Roman" w:hAnsi="Times New Roman" w:cs="Times New Roman"/>
              </w:rPr>
            </w:pPr>
          </w:p>
        </w:tc>
        <w:tc>
          <w:tcPr>
            <w:tcW w:w="518" w:type="dxa"/>
            <w:gridSpan w:val="2"/>
          </w:tcPr>
          <w:p>
            <w:pPr>
              <w:rPr>
                <w:rFonts w:hint="default" w:ascii="Times New Roman" w:hAnsi="Times New Roman" w:cs="Times New Roman"/>
              </w:rPr>
            </w:pPr>
          </w:p>
        </w:tc>
        <w:tc>
          <w:tcPr>
            <w:tcW w:w="494" w:type="dxa"/>
          </w:tcPr>
          <w:p>
            <w:pPr>
              <w:rPr>
                <w:rFonts w:hint="default" w:ascii="Times New Roman" w:hAnsi="Times New Roman" w:cs="Times New Roman"/>
              </w:rPr>
            </w:pPr>
          </w:p>
        </w:tc>
        <w:tc>
          <w:tcPr>
            <w:tcW w:w="652" w:type="dxa"/>
            <w:gridSpan w:val="2"/>
          </w:tcPr>
          <w:p>
            <w:pPr>
              <w:rPr>
                <w:rFonts w:hint="default" w:ascii="Times New Roman" w:hAnsi="Times New Roman" w:cs="Times New Roman"/>
              </w:rPr>
            </w:pPr>
          </w:p>
        </w:tc>
        <w:tc>
          <w:tcPr>
            <w:tcW w:w="494" w:type="dxa"/>
          </w:tcPr>
          <w:p>
            <w:pPr>
              <w:rPr>
                <w:rFonts w:hint="default" w:ascii="Times New Roman" w:hAnsi="Times New Roman" w:cs="Times New Roman"/>
              </w:rPr>
            </w:pPr>
          </w:p>
        </w:tc>
        <w:tc>
          <w:tcPr>
            <w:tcW w:w="786" w:type="dxa"/>
            <w:gridSpan w:val="2"/>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629" w:type="dxa"/>
          </w:tcPr>
          <w:p>
            <w:pPr>
              <w:rPr>
                <w:rFonts w:hint="default" w:ascii="Times New Roman" w:hAnsi="Times New Roman" w:cs="Times New Roman"/>
              </w:rPr>
            </w:pPr>
          </w:p>
        </w:tc>
        <w:tc>
          <w:tcPr>
            <w:tcW w:w="677"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534" w:hRule="atLeast"/>
        </w:trPr>
        <w:tc>
          <w:tcPr>
            <w:tcW w:w="510" w:type="dxa"/>
            <w:tcBorders>
              <w:top w:val="single" w:color="auto" w:sz="0" w:space="0"/>
              <w:left w:val="single" w:color="auto" w:sz="0" w:space="0"/>
              <w:bottom w:val="single" w:color="auto" w:sz="0" w:space="0"/>
              <w:right w:val="single" w:color="auto" w:sz="0"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20" w:lineRule="exact"/>
              <w:ind w:left="30" w:leftChars="0"/>
              <w:jc w:val="center"/>
              <w:textAlignment w:val="auto"/>
              <w:rPr>
                <w:rFonts w:hint="default" w:ascii="Times New Roman" w:hAnsi="Times New Roman" w:eastAsia="仿宋" w:cs="Times New Roman"/>
                <w:sz w:val="18"/>
                <w:szCs w:val="18"/>
                <w:lang w:val="en-US" w:eastAsia="zh-CN"/>
              </w:rPr>
            </w:pPr>
            <w:r>
              <w:rPr>
                <w:rFonts w:hint="eastAsia" w:ascii="Times New Roman" w:hAnsi="Times New Roman" w:eastAsia="仿宋" w:cs="Times New Roman"/>
                <w:position w:val="8"/>
                <w:sz w:val="18"/>
                <w:szCs w:val="18"/>
                <w:lang w:val="en-US" w:eastAsia="zh-CN"/>
              </w:rPr>
              <w:t>229</w:t>
            </w:r>
          </w:p>
        </w:tc>
        <w:tc>
          <w:tcPr>
            <w:tcW w:w="329" w:type="dxa"/>
            <w:tcBorders>
              <w:top w:val="single" w:color="auto" w:sz="0" w:space="0"/>
              <w:left w:val="single" w:color="auto" w:sz="0" w:space="0"/>
              <w:bottom w:val="single" w:color="auto" w:sz="0" w:space="0"/>
              <w:right w:val="single" w:color="auto" w:sz="0"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ind w:left="30" w:leftChars="0"/>
              <w:jc w:val="center"/>
              <w:textAlignment w:val="auto"/>
              <w:rPr>
                <w:rFonts w:hint="default" w:ascii="Times New Roman" w:hAnsi="Times New Roman" w:cs="Times New Roman" w:eastAsiaTheme="minorEastAsia"/>
                <w:sz w:val="18"/>
                <w:szCs w:val="18"/>
              </w:rPr>
            </w:pPr>
          </w:p>
        </w:tc>
        <w:tc>
          <w:tcPr>
            <w:tcW w:w="359" w:type="dxa"/>
            <w:tcBorders>
              <w:top w:val="single" w:color="auto" w:sz="0" w:space="0"/>
              <w:left w:val="single" w:color="auto" w:sz="0" w:space="0"/>
              <w:bottom w:val="single" w:color="auto" w:sz="0" w:space="0"/>
              <w:right w:val="single" w:color="auto" w:sz="0"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ind w:left="30" w:leftChars="0"/>
              <w:jc w:val="center"/>
              <w:textAlignment w:val="auto"/>
              <w:rPr>
                <w:rFonts w:hint="default" w:ascii="Times New Roman" w:hAnsi="Times New Roman" w:cs="Times New Roman" w:eastAsiaTheme="minorEastAsia"/>
                <w:sz w:val="18"/>
                <w:szCs w:val="18"/>
              </w:rPr>
            </w:pPr>
          </w:p>
        </w:tc>
        <w:tc>
          <w:tcPr>
            <w:tcW w:w="600" w:type="dxa"/>
            <w:gridSpan w:val="2"/>
            <w:tcBorders>
              <w:top w:val="single" w:color="auto" w:sz="0" w:space="0"/>
              <w:left w:val="single" w:color="auto" w:sz="0" w:space="0"/>
              <w:bottom w:val="single" w:color="auto" w:sz="0" w:space="0"/>
              <w:right w:val="single" w:color="auto" w:sz="0"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ind w:left="30" w:leftChars="0"/>
              <w:jc w:val="center"/>
              <w:textAlignment w:val="auto"/>
              <w:rPr>
                <w:rFonts w:hint="default" w:ascii="Times New Roman" w:hAnsi="Times New Roman" w:cs="Times New Roman" w:eastAsiaTheme="minorEastAsia"/>
                <w:sz w:val="18"/>
                <w:szCs w:val="18"/>
                <w:lang w:eastAsia="zh-CN"/>
              </w:rPr>
            </w:pPr>
            <w:r>
              <w:rPr>
                <w:rFonts w:hint="eastAsia" w:ascii="Times New Roman" w:hAnsi="Times New Roman" w:cs="Times New Roman"/>
                <w:sz w:val="18"/>
                <w:szCs w:val="18"/>
                <w:lang w:eastAsia="zh-CN"/>
              </w:rPr>
              <w:t>其他支出</w:t>
            </w:r>
          </w:p>
        </w:tc>
        <w:tc>
          <w:tcPr>
            <w:tcW w:w="1497"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center"/>
              <w:textAlignment w:val="auto"/>
              <w:rPr>
                <w:rFonts w:hint="default" w:ascii="Times New Roman" w:hAnsi="Times New Roman" w:cs="Times New Roman"/>
                <w:sz w:val="18"/>
                <w:szCs w:val="18"/>
              </w:rPr>
            </w:pPr>
          </w:p>
        </w:tc>
        <w:tc>
          <w:tcPr>
            <w:tcW w:w="60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9.39</w:t>
            </w:r>
          </w:p>
        </w:tc>
        <w:tc>
          <w:tcPr>
            <w:tcW w:w="44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center"/>
              <w:textAlignment w:val="auto"/>
              <w:rPr>
                <w:rFonts w:hint="default" w:ascii="Times New Roman" w:hAnsi="Times New Roman" w:cs="Times New Roman"/>
                <w:sz w:val="18"/>
                <w:szCs w:val="18"/>
              </w:rPr>
            </w:pPr>
          </w:p>
        </w:tc>
        <w:tc>
          <w:tcPr>
            <w:tcW w:w="62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5.81</w:t>
            </w:r>
          </w:p>
        </w:tc>
        <w:tc>
          <w:tcPr>
            <w:tcW w:w="518"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3.58</w:t>
            </w:r>
          </w:p>
        </w:tc>
        <w:tc>
          <w:tcPr>
            <w:tcW w:w="49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center"/>
              <w:textAlignment w:val="auto"/>
              <w:rPr>
                <w:rFonts w:hint="default" w:ascii="Times New Roman" w:hAnsi="Times New Roman" w:cs="Times New Roman"/>
                <w:sz w:val="18"/>
                <w:szCs w:val="18"/>
              </w:rPr>
            </w:pPr>
          </w:p>
        </w:tc>
        <w:tc>
          <w:tcPr>
            <w:tcW w:w="652"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center"/>
              <w:textAlignment w:val="auto"/>
              <w:rPr>
                <w:rFonts w:hint="default" w:ascii="Times New Roman" w:hAnsi="Times New Roman" w:cs="Times New Roman"/>
                <w:sz w:val="18"/>
                <w:szCs w:val="18"/>
              </w:rPr>
            </w:pPr>
          </w:p>
        </w:tc>
        <w:tc>
          <w:tcPr>
            <w:tcW w:w="494"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right"/>
              <w:textAlignment w:val="auto"/>
              <w:rPr>
                <w:rFonts w:hint="default" w:ascii="Times New Roman" w:hAnsi="Times New Roman" w:cs="Times New Roman"/>
                <w:sz w:val="18"/>
                <w:szCs w:val="18"/>
              </w:rPr>
            </w:pPr>
          </w:p>
        </w:tc>
        <w:tc>
          <w:tcPr>
            <w:tcW w:w="786" w:type="dxa"/>
            <w:gridSpan w:val="2"/>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right"/>
              <w:textAlignment w:val="auto"/>
              <w:rPr>
                <w:rFonts w:hint="default" w:ascii="Times New Roman" w:hAnsi="Times New Roman" w:cs="Times New Roman"/>
                <w:sz w:val="18"/>
                <w:szCs w:val="18"/>
              </w:rPr>
            </w:pPr>
          </w:p>
        </w:tc>
        <w:tc>
          <w:tcPr>
            <w:tcW w:w="450"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right"/>
              <w:textAlignment w:val="auto"/>
              <w:rPr>
                <w:rFonts w:hint="default" w:ascii="Times New Roman" w:hAnsi="Times New Roman" w:cs="Times New Roman"/>
                <w:sz w:val="18"/>
                <w:szCs w:val="18"/>
              </w:rPr>
            </w:pPr>
          </w:p>
        </w:tc>
        <w:tc>
          <w:tcPr>
            <w:tcW w:w="629"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right"/>
              <w:textAlignment w:val="auto"/>
              <w:rPr>
                <w:rFonts w:hint="default" w:ascii="Times New Roman" w:hAnsi="Times New Roman" w:cs="Times New Roman"/>
                <w:sz w:val="18"/>
                <w:szCs w:val="18"/>
              </w:rPr>
            </w:pPr>
          </w:p>
        </w:tc>
        <w:tc>
          <w:tcPr>
            <w:tcW w:w="677" w:type="dxa"/>
            <w:tcBorders>
              <w:top w:val="single" w:color="auto" w:sz="0" w:space="0"/>
              <w:left w:val="single" w:color="auto" w:sz="0" w:space="0"/>
              <w:bottom w:val="single" w:color="auto" w:sz="0" w:space="0"/>
              <w:right w:val="single" w:color="auto" w:sz="0"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30"/>
              <w:jc w:val="right"/>
              <w:textAlignment w:val="auto"/>
              <w:rPr>
                <w:rFonts w:hint="default" w:ascii="Times New Roman" w:hAnsi="Times New Roman" w:cs="Times New Roman"/>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504" w:hRule="atLeast"/>
        </w:trPr>
        <w:tc>
          <w:tcPr>
            <w:tcW w:w="51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eastAsia="仿宋" w:cs="Times New Roman"/>
                <w:position w:val="8"/>
                <w:sz w:val="18"/>
                <w:szCs w:val="18"/>
                <w:lang w:val="en-US" w:eastAsia="zh-CN"/>
              </w:rPr>
              <w:t>229</w:t>
            </w:r>
          </w:p>
        </w:tc>
        <w:tc>
          <w:tcPr>
            <w:tcW w:w="32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99</w:t>
            </w:r>
          </w:p>
        </w:tc>
        <w:tc>
          <w:tcPr>
            <w:tcW w:w="35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rPr>
            </w:pPr>
          </w:p>
        </w:tc>
        <w:tc>
          <w:tcPr>
            <w:tcW w:w="600" w:type="dxa"/>
            <w:gridSpan w:val="2"/>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cs="Times New Roman"/>
                <w:sz w:val="18"/>
                <w:szCs w:val="18"/>
                <w:lang w:eastAsia="zh-CN"/>
              </w:rPr>
              <w:t>其他支出</w:t>
            </w:r>
          </w:p>
        </w:tc>
        <w:tc>
          <w:tcPr>
            <w:tcW w:w="1497"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607"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9.39</w:t>
            </w:r>
          </w:p>
        </w:tc>
        <w:tc>
          <w:tcPr>
            <w:tcW w:w="449"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629"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5.81</w:t>
            </w:r>
          </w:p>
        </w:tc>
        <w:tc>
          <w:tcPr>
            <w:tcW w:w="518"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3.58</w:t>
            </w:r>
          </w:p>
        </w:tc>
        <w:tc>
          <w:tcPr>
            <w:tcW w:w="494"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652"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494"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786" w:type="dxa"/>
            <w:gridSpan w:val="2"/>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450"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629"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677"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811" w:hRule="atLeast"/>
        </w:trPr>
        <w:tc>
          <w:tcPr>
            <w:tcW w:w="51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eastAsia="仿宋" w:cs="Times New Roman"/>
                <w:position w:val="8"/>
                <w:sz w:val="18"/>
                <w:szCs w:val="18"/>
                <w:lang w:val="en-US" w:eastAsia="zh-CN"/>
              </w:rPr>
              <w:t>229</w:t>
            </w:r>
          </w:p>
        </w:tc>
        <w:tc>
          <w:tcPr>
            <w:tcW w:w="32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cs="Times New Roman"/>
                <w:sz w:val="18"/>
                <w:szCs w:val="18"/>
                <w:lang w:val="en-US" w:eastAsia="zh-CN"/>
              </w:rPr>
              <w:t>99</w:t>
            </w:r>
          </w:p>
        </w:tc>
        <w:tc>
          <w:tcPr>
            <w:tcW w:w="35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99</w:t>
            </w:r>
          </w:p>
        </w:tc>
        <w:tc>
          <w:tcPr>
            <w:tcW w:w="600" w:type="dxa"/>
            <w:gridSpan w:val="2"/>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cs="Times New Roman"/>
                <w:sz w:val="18"/>
                <w:szCs w:val="18"/>
                <w:lang w:eastAsia="zh-CN"/>
              </w:rPr>
              <w:t>其他支出</w:t>
            </w:r>
          </w:p>
        </w:tc>
        <w:tc>
          <w:tcPr>
            <w:tcW w:w="1497"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2022年驻村工作队为民办实事经费-和地财预〔2022〕16号</w:t>
            </w:r>
          </w:p>
        </w:tc>
        <w:tc>
          <w:tcPr>
            <w:tcW w:w="607"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7.13</w:t>
            </w:r>
          </w:p>
        </w:tc>
        <w:tc>
          <w:tcPr>
            <w:tcW w:w="449"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629"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5.81</w:t>
            </w:r>
          </w:p>
        </w:tc>
        <w:tc>
          <w:tcPr>
            <w:tcW w:w="518"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1.32</w:t>
            </w:r>
          </w:p>
        </w:tc>
        <w:tc>
          <w:tcPr>
            <w:tcW w:w="494"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652"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494"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786" w:type="dxa"/>
            <w:gridSpan w:val="2"/>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450"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629"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677"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1007" w:hRule="atLeast"/>
        </w:trPr>
        <w:tc>
          <w:tcPr>
            <w:tcW w:w="51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eastAsia="仿宋" w:cs="Times New Roman"/>
                <w:position w:val="8"/>
                <w:sz w:val="18"/>
                <w:szCs w:val="18"/>
                <w:lang w:val="en-US" w:eastAsia="zh-CN"/>
              </w:rPr>
              <w:t>229</w:t>
            </w:r>
          </w:p>
        </w:tc>
        <w:tc>
          <w:tcPr>
            <w:tcW w:w="32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cs="Times New Roman"/>
                <w:sz w:val="18"/>
                <w:szCs w:val="18"/>
                <w:lang w:val="en-US" w:eastAsia="zh-CN"/>
              </w:rPr>
              <w:t>99</w:t>
            </w:r>
          </w:p>
        </w:tc>
        <w:tc>
          <w:tcPr>
            <w:tcW w:w="35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99</w:t>
            </w:r>
          </w:p>
        </w:tc>
        <w:tc>
          <w:tcPr>
            <w:tcW w:w="600" w:type="dxa"/>
            <w:gridSpan w:val="2"/>
            <w:shd w:val="clear" w:color="auto" w:fill="auto"/>
            <w:vAlign w:val="top"/>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rPr>
            </w:pPr>
            <w:r>
              <w:rPr>
                <w:rFonts w:hint="eastAsia" w:ascii="Times New Roman" w:hAnsi="Times New Roman" w:cs="Times New Roman"/>
                <w:sz w:val="18"/>
                <w:szCs w:val="18"/>
                <w:lang w:eastAsia="zh-CN"/>
              </w:rPr>
              <w:t>其他支出</w:t>
            </w:r>
          </w:p>
        </w:tc>
        <w:tc>
          <w:tcPr>
            <w:tcW w:w="1497"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r>
              <w:rPr>
                <w:rFonts w:hint="default" w:ascii="Times New Roman" w:hAnsi="Times New Roman" w:eastAsia="宋体" w:cs="Times New Roman"/>
                <w:b w:val="0"/>
                <w:bCs w:val="0"/>
                <w:color w:val="auto"/>
                <w:kern w:val="0"/>
                <w:sz w:val="18"/>
                <w:szCs w:val="18"/>
                <w:highlight w:val="none"/>
                <w:lang w:val="en-US" w:eastAsia="zh-CN"/>
              </w:rPr>
              <w:t>团委、总工会202</w:t>
            </w:r>
            <w:r>
              <w:rPr>
                <w:rFonts w:hint="eastAsia" w:ascii="Times New Roman" w:hAnsi="Times New Roman" w:eastAsia="宋体" w:cs="Times New Roman"/>
                <w:b w:val="0"/>
                <w:bCs w:val="0"/>
                <w:color w:val="auto"/>
                <w:kern w:val="0"/>
                <w:sz w:val="18"/>
                <w:szCs w:val="18"/>
                <w:highlight w:val="none"/>
                <w:lang w:val="en-US" w:eastAsia="zh-CN"/>
              </w:rPr>
              <w:t>1</w:t>
            </w:r>
            <w:r>
              <w:rPr>
                <w:rFonts w:hint="default" w:ascii="Times New Roman" w:hAnsi="Times New Roman" w:eastAsia="宋体" w:cs="Times New Roman"/>
                <w:b w:val="0"/>
                <w:bCs w:val="0"/>
                <w:color w:val="auto"/>
                <w:kern w:val="0"/>
                <w:sz w:val="18"/>
                <w:szCs w:val="18"/>
                <w:highlight w:val="none"/>
                <w:lang w:val="en-US" w:eastAsia="zh-CN"/>
              </w:rPr>
              <w:t>年驻村工作队为民办实事经费</w:t>
            </w:r>
            <w:r>
              <w:rPr>
                <w:rFonts w:hint="eastAsia" w:ascii="Times New Roman" w:hAnsi="Times New Roman" w:cs="Times New Roman"/>
                <w:sz w:val="18"/>
                <w:szCs w:val="18"/>
                <w:lang w:val="en-US" w:eastAsia="zh-CN"/>
              </w:rPr>
              <w:t>-和地财预〔2021〕8号</w:t>
            </w:r>
          </w:p>
        </w:tc>
        <w:tc>
          <w:tcPr>
            <w:tcW w:w="607"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2.26</w:t>
            </w:r>
          </w:p>
        </w:tc>
        <w:tc>
          <w:tcPr>
            <w:tcW w:w="449"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629"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518"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2.26</w:t>
            </w:r>
          </w:p>
        </w:tc>
        <w:tc>
          <w:tcPr>
            <w:tcW w:w="494" w:type="dxa"/>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652" w:type="dxa"/>
            <w:gridSpan w:val="2"/>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494"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786" w:type="dxa"/>
            <w:gridSpan w:val="2"/>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450"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629"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c>
          <w:tcPr>
            <w:tcW w:w="677" w:type="dxa"/>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285" w:hRule="atLeast"/>
        </w:trPr>
        <w:tc>
          <w:tcPr>
            <w:tcW w:w="510" w:type="dxa"/>
          </w:tcPr>
          <w:p>
            <w:pPr>
              <w:rPr>
                <w:rFonts w:hint="default" w:ascii="Times New Roman" w:hAnsi="Times New Roman" w:cs="Times New Roman"/>
              </w:rPr>
            </w:pPr>
          </w:p>
        </w:tc>
        <w:tc>
          <w:tcPr>
            <w:tcW w:w="329" w:type="dxa"/>
          </w:tcPr>
          <w:p>
            <w:pPr>
              <w:rPr>
                <w:rFonts w:hint="default" w:ascii="Times New Roman" w:hAnsi="Times New Roman" w:cs="Times New Roman"/>
              </w:rPr>
            </w:pPr>
          </w:p>
        </w:tc>
        <w:tc>
          <w:tcPr>
            <w:tcW w:w="359" w:type="dxa"/>
          </w:tcPr>
          <w:p>
            <w:pPr>
              <w:rPr>
                <w:rFonts w:hint="default" w:ascii="Times New Roman" w:hAnsi="Times New Roman" w:cs="Times New Roman"/>
              </w:rPr>
            </w:pPr>
          </w:p>
        </w:tc>
        <w:tc>
          <w:tcPr>
            <w:tcW w:w="600" w:type="dxa"/>
            <w:gridSpan w:val="2"/>
          </w:tcPr>
          <w:p>
            <w:pPr>
              <w:rPr>
                <w:rFonts w:hint="default" w:ascii="Times New Roman" w:hAnsi="Times New Roman" w:cs="Times New Roman"/>
              </w:rPr>
            </w:pPr>
          </w:p>
        </w:tc>
        <w:tc>
          <w:tcPr>
            <w:tcW w:w="1497" w:type="dxa"/>
            <w:gridSpan w:val="2"/>
          </w:tcPr>
          <w:p>
            <w:pPr>
              <w:rPr>
                <w:rFonts w:hint="default" w:ascii="Times New Roman" w:hAnsi="Times New Roman" w:cs="Times New Roman"/>
              </w:rPr>
            </w:pPr>
          </w:p>
        </w:tc>
        <w:tc>
          <w:tcPr>
            <w:tcW w:w="607" w:type="dxa"/>
          </w:tcPr>
          <w:p>
            <w:pPr>
              <w:rPr>
                <w:rFonts w:hint="default" w:ascii="Times New Roman" w:hAnsi="Times New Roman" w:cs="Times New Roman"/>
              </w:rPr>
            </w:pPr>
          </w:p>
        </w:tc>
        <w:tc>
          <w:tcPr>
            <w:tcW w:w="449" w:type="dxa"/>
          </w:tcPr>
          <w:p>
            <w:pPr>
              <w:rPr>
                <w:rFonts w:hint="default" w:ascii="Times New Roman" w:hAnsi="Times New Roman" w:cs="Times New Roman"/>
              </w:rPr>
            </w:pPr>
          </w:p>
        </w:tc>
        <w:tc>
          <w:tcPr>
            <w:tcW w:w="629" w:type="dxa"/>
          </w:tcPr>
          <w:p>
            <w:pPr>
              <w:rPr>
                <w:rFonts w:hint="default" w:ascii="Times New Roman" w:hAnsi="Times New Roman" w:cs="Times New Roman"/>
              </w:rPr>
            </w:pPr>
          </w:p>
        </w:tc>
        <w:tc>
          <w:tcPr>
            <w:tcW w:w="518" w:type="dxa"/>
            <w:gridSpan w:val="2"/>
          </w:tcPr>
          <w:p>
            <w:pPr>
              <w:rPr>
                <w:rFonts w:hint="default" w:ascii="Times New Roman" w:hAnsi="Times New Roman" w:cs="Times New Roman"/>
              </w:rPr>
            </w:pPr>
          </w:p>
        </w:tc>
        <w:tc>
          <w:tcPr>
            <w:tcW w:w="494" w:type="dxa"/>
          </w:tcPr>
          <w:p>
            <w:pPr>
              <w:rPr>
                <w:rFonts w:hint="default" w:ascii="Times New Roman" w:hAnsi="Times New Roman" w:cs="Times New Roman"/>
              </w:rPr>
            </w:pPr>
          </w:p>
        </w:tc>
        <w:tc>
          <w:tcPr>
            <w:tcW w:w="652" w:type="dxa"/>
            <w:gridSpan w:val="2"/>
          </w:tcPr>
          <w:p>
            <w:pPr>
              <w:rPr>
                <w:rFonts w:hint="default" w:ascii="Times New Roman" w:hAnsi="Times New Roman" w:cs="Times New Roman"/>
              </w:rPr>
            </w:pPr>
          </w:p>
        </w:tc>
        <w:tc>
          <w:tcPr>
            <w:tcW w:w="494" w:type="dxa"/>
          </w:tcPr>
          <w:p>
            <w:pPr>
              <w:rPr>
                <w:rFonts w:hint="default" w:ascii="Times New Roman" w:hAnsi="Times New Roman" w:cs="Times New Roman"/>
              </w:rPr>
            </w:pPr>
          </w:p>
        </w:tc>
        <w:tc>
          <w:tcPr>
            <w:tcW w:w="786" w:type="dxa"/>
            <w:gridSpan w:val="2"/>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629" w:type="dxa"/>
          </w:tcPr>
          <w:p>
            <w:pPr>
              <w:rPr>
                <w:rFonts w:hint="default" w:ascii="Times New Roman" w:hAnsi="Times New Roman" w:cs="Times New Roman"/>
              </w:rPr>
            </w:pPr>
          </w:p>
        </w:tc>
        <w:tc>
          <w:tcPr>
            <w:tcW w:w="677"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325" w:hRule="atLeast"/>
        </w:trPr>
        <w:tc>
          <w:tcPr>
            <w:tcW w:w="510" w:type="dxa"/>
          </w:tcPr>
          <w:p>
            <w:pPr>
              <w:rPr>
                <w:rFonts w:hint="default" w:ascii="Times New Roman" w:hAnsi="Times New Roman" w:cs="Times New Roman"/>
              </w:rPr>
            </w:pPr>
          </w:p>
        </w:tc>
        <w:tc>
          <w:tcPr>
            <w:tcW w:w="329" w:type="dxa"/>
          </w:tcPr>
          <w:p>
            <w:pPr>
              <w:rPr>
                <w:rFonts w:hint="default" w:ascii="Times New Roman" w:hAnsi="Times New Roman" w:cs="Times New Roman"/>
              </w:rPr>
            </w:pPr>
          </w:p>
        </w:tc>
        <w:tc>
          <w:tcPr>
            <w:tcW w:w="359" w:type="dxa"/>
          </w:tcPr>
          <w:p>
            <w:pPr>
              <w:rPr>
                <w:rFonts w:hint="default" w:ascii="Times New Roman" w:hAnsi="Times New Roman" w:cs="Times New Roman"/>
              </w:rPr>
            </w:pPr>
          </w:p>
        </w:tc>
        <w:tc>
          <w:tcPr>
            <w:tcW w:w="600" w:type="dxa"/>
            <w:gridSpan w:val="2"/>
          </w:tcPr>
          <w:p>
            <w:pPr>
              <w:rPr>
                <w:rFonts w:hint="default" w:ascii="Times New Roman" w:hAnsi="Times New Roman" w:cs="Times New Roman"/>
              </w:rPr>
            </w:pPr>
          </w:p>
        </w:tc>
        <w:tc>
          <w:tcPr>
            <w:tcW w:w="1497" w:type="dxa"/>
            <w:gridSpan w:val="2"/>
          </w:tcPr>
          <w:p>
            <w:pPr>
              <w:rPr>
                <w:rFonts w:hint="default" w:ascii="Times New Roman" w:hAnsi="Times New Roman" w:cs="Times New Roman"/>
              </w:rPr>
            </w:pPr>
            <w:r>
              <w:rPr>
                <w:rFonts w:hint="default" w:ascii="Times New Roman" w:hAnsi="Times New Roman" w:eastAsia="仿宋" w:cs="Times New Roman"/>
                <w:position w:val="8"/>
                <w:sz w:val="20"/>
              </w:rPr>
              <w:t>合计</w:t>
            </w:r>
          </w:p>
        </w:tc>
        <w:tc>
          <w:tcPr>
            <w:tcW w:w="607" w:type="dxa"/>
          </w:tcPr>
          <w:p>
            <w:pP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9.39</w:t>
            </w:r>
          </w:p>
        </w:tc>
        <w:tc>
          <w:tcPr>
            <w:tcW w:w="449" w:type="dxa"/>
          </w:tcPr>
          <w:p>
            <w:pPr>
              <w:rPr>
                <w:rFonts w:hint="default" w:ascii="Times New Roman" w:hAnsi="Times New Roman" w:cs="Times New Roman"/>
              </w:rPr>
            </w:pPr>
          </w:p>
        </w:tc>
        <w:tc>
          <w:tcPr>
            <w:tcW w:w="629" w:type="dxa"/>
          </w:tcPr>
          <w:p>
            <w:pP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5.81</w:t>
            </w:r>
          </w:p>
        </w:tc>
        <w:tc>
          <w:tcPr>
            <w:tcW w:w="518" w:type="dxa"/>
            <w:gridSpan w:val="2"/>
          </w:tcPr>
          <w:p>
            <w:pP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3.58</w:t>
            </w:r>
          </w:p>
        </w:tc>
        <w:tc>
          <w:tcPr>
            <w:tcW w:w="494" w:type="dxa"/>
          </w:tcPr>
          <w:p>
            <w:pPr>
              <w:rPr>
                <w:rFonts w:hint="default" w:ascii="Times New Roman" w:hAnsi="Times New Roman" w:cs="Times New Roman"/>
              </w:rPr>
            </w:pPr>
          </w:p>
        </w:tc>
        <w:tc>
          <w:tcPr>
            <w:tcW w:w="652" w:type="dxa"/>
            <w:gridSpan w:val="2"/>
          </w:tcPr>
          <w:p>
            <w:pPr>
              <w:rPr>
                <w:rFonts w:hint="default" w:ascii="Times New Roman" w:hAnsi="Times New Roman" w:cs="Times New Roman"/>
              </w:rPr>
            </w:pPr>
          </w:p>
        </w:tc>
        <w:tc>
          <w:tcPr>
            <w:tcW w:w="494" w:type="dxa"/>
          </w:tcPr>
          <w:p>
            <w:pPr>
              <w:rPr>
                <w:rFonts w:hint="default" w:ascii="Times New Roman" w:hAnsi="Times New Roman" w:cs="Times New Roman"/>
              </w:rPr>
            </w:pPr>
          </w:p>
        </w:tc>
        <w:tc>
          <w:tcPr>
            <w:tcW w:w="786" w:type="dxa"/>
            <w:gridSpan w:val="2"/>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629" w:type="dxa"/>
          </w:tcPr>
          <w:p>
            <w:pPr>
              <w:rPr>
                <w:rFonts w:hint="default" w:ascii="Times New Roman" w:hAnsi="Times New Roman" w:cs="Times New Roman"/>
              </w:rPr>
            </w:pPr>
          </w:p>
        </w:tc>
        <w:tc>
          <w:tcPr>
            <w:tcW w:w="677"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5" w:type="dxa"/>
          <w:trHeight w:val="600" w:hRule="atLeast"/>
        </w:trPr>
        <w:tc>
          <w:tcPr>
            <w:tcW w:w="9680" w:type="dxa"/>
            <w:gridSpan w:val="21"/>
            <w:tcBorders>
              <w:left w:val="nil"/>
              <w:bottom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中国共产主义青年团皮山县委员会2023年没有公共预算项目安排的支出，一般公共预算项目支出情况表为空表。</w:t>
            </w:r>
          </w:p>
        </w:tc>
      </w:tr>
    </w:tbl>
    <w:p>
      <w:pPr>
        <w:rPr>
          <w:rFonts w:hint="default" w:ascii="Times New Roman" w:hAnsi="Times New Roman" w:cs="Times New Roman"/>
        </w:rPr>
      </w:pPr>
      <w:r>
        <w:rPr>
          <w:rFonts w:hint="default" w:ascii="Times New Roman" w:hAnsi="Times New Roman" w:cs="Times New Roman"/>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74"/>
        <w:gridCol w:w="570"/>
        <w:gridCol w:w="776"/>
        <w:gridCol w:w="1992"/>
        <w:gridCol w:w="817"/>
        <w:gridCol w:w="311"/>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cs="Times New Roman"/>
              </w:rPr>
            </w:pPr>
            <w:r>
              <w:rPr>
                <w:rFonts w:hint="default" w:ascii="Times New Roman" w:hAnsi="Times New Roman" w:eastAsia="仿宋" w:cs="Times New Roman"/>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29" w:type="dxa"/>
            <w:gridSpan w:val="5"/>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3671" w:type="dxa"/>
            <w:gridSpan w:val="3"/>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12"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w:t>
            </w:r>
          </w:p>
        </w:tc>
        <w:tc>
          <w:tcPr>
            <w:tcW w:w="4488"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2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功能分类科目编码</w:t>
            </w:r>
          </w:p>
        </w:tc>
        <w:tc>
          <w:tcPr>
            <w:tcW w:w="1992"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功能分类科目名称</w:t>
            </w:r>
          </w:p>
        </w:tc>
        <w:tc>
          <w:tcPr>
            <w:tcW w:w="1128"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4"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类</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款</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w:t>
            </w:r>
          </w:p>
        </w:tc>
        <w:tc>
          <w:tcPr>
            <w:tcW w:w="1992" w:type="dxa"/>
          </w:tcPr>
          <w:p>
            <w:pPr>
              <w:rPr>
                <w:rFonts w:hint="default" w:ascii="Times New Roman" w:hAnsi="Times New Roman" w:cs="Times New Roman"/>
              </w:rPr>
            </w:pPr>
          </w:p>
        </w:tc>
        <w:tc>
          <w:tcPr>
            <w:tcW w:w="1128"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4"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eastAsia="仿宋" w:cs="Times New Roman"/>
                <w:lang w:val="en-US" w:eastAsia="zh-CN"/>
              </w:rP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p>
        </w:tc>
        <w:tc>
          <w:tcPr>
            <w:tcW w:w="19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1128"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4" w:type="dxa"/>
          </w:tcPr>
          <w:p>
            <w:pPr>
              <w:rPr>
                <w:rFonts w:hint="default" w:ascii="Times New Roman" w:hAnsi="Times New Roman" w:cs="Times New Roman"/>
              </w:rPr>
            </w:pPr>
          </w:p>
        </w:tc>
        <w:tc>
          <w:tcPr>
            <w:tcW w:w="570" w:type="dxa"/>
          </w:tcPr>
          <w:p>
            <w:pPr>
              <w:rPr>
                <w:rFonts w:hint="default" w:ascii="Times New Roman" w:hAnsi="Times New Roman" w:cs="Times New Roman" w:eastAsiaTheme="minorEastAsia"/>
                <w:lang w:val="en-US" w:eastAsia="zh-CN"/>
              </w:rPr>
            </w:pPr>
          </w:p>
        </w:tc>
        <w:tc>
          <w:tcPr>
            <w:tcW w:w="776" w:type="dxa"/>
          </w:tcPr>
          <w:p>
            <w:pPr>
              <w:rPr>
                <w:rFonts w:hint="default" w:ascii="Times New Roman" w:hAnsi="Times New Roman" w:cs="Times New Roman"/>
              </w:rPr>
            </w:pPr>
          </w:p>
        </w:tc>
        <w:tc>
          <w:tcPr>
            <w:tcW w:w="1992" w:type="dxa"/>
          </w:tcPr>
          <w:p>
            <w:pPr>
              <w:rPr>
                <w:rFonts w:hint="default" w:ascii="Times New Roman" w:hAnsi="Times New Roman" w:cs="Times New Roman"/>
              </w:rPr>
            </w:pPr>
          </w:p>
        </w:tc>
        <w:tc>
          <w:tcPr>
            <w:tcW w:w="1128"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4" w:type="dxa"/>
          </w:tcPr>
          <w:p>
            <w:pPr>
              <w:rPr>
                <w:rFonts w:hint="default" w:ascii="Times New Roman" w:hAnsi="Times New Roman" w:cs="Times New Roman"/>
              </w:rPr>
            </w:pPr>
          </w:p>
        </w:tc>
        <w:tc>
          <w:tcPr>
            <w:tcW w:w="570" w:type="dxa"/>
          </w:tcPr>
          <w:p>
            <w:pPr>
              <w:rPr>
                <w:rFonts w:hint="default" w:ascii="Times New Roman" w:hAnsi="Times New Roman" w:cs="Times New Roman"/>
              </w:rPr>
            </w:pPr>
          </w:p>
        </w:tc>
        <w:tc>
          <w:tcPr>
            <w:tcW w:w="776" w:type="dxa"/>
          </w:tcPr>
          <w:p>
            <w:pPr>
              <w:rPr>
                <w:rFonts w:hint="default" w:ascii="Times New Roman" w:hAnsi="Times New Roman" w:cs="Times New Roman" w:eastAsiaTheme="minorEastAsia"/>
                <w:lang w:val="en-US" w:eastAsia="zh-CN"/>
              </w:rPr>
            </w:pPr>
          </w:p>
        </w:tc>
        <w:tc>
          <w:tcPr>
            <w:tcW w:w="1992" w:type="dxa"/>
          </w:tcPr>
          <w:p>
            <w:pPr>
              <w:rPr>
                <w:rFonts w:hint="default" w:ascii="Times New Roman" w:hAnsi="Times New Roman" w:cs="Times New Roman"/>
              </w:rPr>
            </w:pPr>
          </w:p>
        </w:tc>
        <w:tc>
          <w:tcPr>
            <w:tcW w:w="1128"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4" w:type="dxa"/>
          </w:tcPr>
          <w:p>
            <w:pPr>
              <w:rPr>
                <w:rFonts w:hint="default" w:ascii="Times New Roman" w:hAnsi="Times New Roman" w:cs="Times New Roman"/>
              </w:rPr>
            </w:pPr>
          </w:p>
        </w:tc>
        <w:tc>
          <w:tcPr>
            <w:tcW w:w="570" w:type="dxa"/>
          </w:tcPr>
          <w:p>
            <w:pPr>
              <w:rPr>
                <w:rFonts w:hint="default" w:ascii="Times New Roman" w:hAnsi="Times New Roman" w:cs="Times New Roman"/>
              </w:rPr>
            </w:pPr>
          </w:p>
        </w:tc>
        <w:tc>
          <w:tcPr>
            <w:tcW w:w="776" w:type="dxa"/>
          </w:tcPr>
          <w:p>
            <w:pPr>
              <w:rPr>
                <w:rFonts w:hint="default" w:ascii="Times New Roman" w:hAnsi="Times New Roman" w:cs="Times New Roman" w:eastAsiaTheme="minorEastAsia"/>
                <w:lang w:val="en-US" w:eastAsia="zh-CN"/>
              </w:rPr>
            </w:pPr>
          </w:p>
        </w:tc>
        <w:tc>
          <w:tcPr>
            <w:tcW w:w="1992" w:type="dxa"/>
          </w:tcPr>
          <w:p>
            <w:pPr>
              <w:rPr>
                <w:rFonts w:hint="default" w:ascii="Times New Roman" w:hAnsi="Times New Roman" w:cs="Times New Roman"/>
              </w:rPr>
            </w:pPr>
          </w:p>
        </w:tc>
        <w:tc>
          <w:tcPr>
            <w:tcW w:w="1128"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4" w:type="dxa"/>
          </w:tcPr>
          <w:p>
            <w:pPr>
              <w:rPr>
                <w:rFonts w:hint="default" w:ascii="Times New Roman" w:hAnsi="Times New Roman" w:cs="Times New Roman"/>
              </w:rPr>
            </w:pPr>
          </w:p>
        </w:tc>
        <w:tc>
          <w:tcPr>
            <w:tcW w:w="570" w:type="dxa"/>
          </w:tcPr>
          <w:p>
            <w:pPr>
              <w:rPr>
                <w:rFonts w:hint="default" w:ascii="Times New Roman" w:hAnsi="Times New Roman" w:cs="Times New Roman"/>
              </w:rPr>
            </w:pPr>
          </w:p>
        </w:tc>
        <w:tc>
          <w:tcPr>
            <w:tcW w:w="776" w:type="dxa"/>
          </w:tcPr>
          <w:p>
            <w:pPr>
              <w:rPr>
                <w:rFonts w:hint="default" w:ascii="Times New Roman" w:hAnsi="Times New Roman" w:cs="Times New Roman"/>
              </w:rPr>
            </w:pPr>
          </w:p>
        </w:tc>
        <w:tc>
          <w:tcPr>
            <w:tcW w:w="1992" w:type="dxa"/>
          </w:tcPr>
          <w:p>
            <w:pPr>
              <w:rPr>
                <w:rFonts w:hint="default" w:ascii="Times New Roman" w:hAnsi="Times New Roman" w:cs="Times New Roman"/>
              </w:rPr>
            </w:pPr>
          </w:p>
        </w:tc>
        <w:tc>
          <w:tcPr>
            <w:tcW w:w="1128"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4" w:type="dxa"/>
          </w:tcPr>
          <w:p>
            <w:pPr>
              <w:rPr>
                <w:rFonts w:hint="default" w:ascii="Times New Roman" w:hAnsi="Times New Roman" w:cs="Times New Roman"/>
              </w:rPr>
            </w:pPr>
          </w:p>
        </w:tc>
        <w:tc>
          <w:tcPr>
            <w:tcW w:w="570" w:type="dxa"/>
          </w:tcPr>
          <w:p>
            <w:pPr>
              <w:rPr>
                <w:rFonts w:hint="default" w:ascii="Times New Roman" w:hAnsi="Times New Roman" w:cs="Times New Roman"/>
              </w:rPr>
            </w:pPr>
          </w:p>
        </w:tc>
        <w:tc>
          <w:tcPr>
            <w:tcW w:w="776" w:type="dxa"/>
          </w:tcPr>
          <w:p>
            <w:pPr>
              <w:rPr>
                <w:rFonts w:hint="default" w:ascii="Times New Roman" w:hAnsi="Times New Roman" w:cs="Times New Roman"/>
              </w:rPr>
            </w:pPr>
          </w:p>
        </w:tc>
        <w:tc>
          <w:tcPr>
            <w:tcW w:w="1992" w:type="dxa"/>
          </w:tcPr>
          <w:p>
            <w:pPr>
              <w:rPr>
                <w:rFonts w:hint="default" w:ascii="Times New Roman" w:hAnsi="Times New Roman" w:cs="Times New Roman"/>
              </w:rPr>
            </w:pPr>
            <w:r>
              <w:rPr>
                <w:rFonts w:hint="default" w:ascii="Times New Roman" w:hAnsi="Times New Roman" w:eastAsia="仿宋" w:cs="Times New Roman"/>
                <w:position w:val="8"/>
                <w:sz w:val="20"/>
              </w:rPr>
              <w:t>合计</w:t>
            </w:r>
          </w:p>
        </w:tc>
        <w:tc>
          <w:tcPr>
            <w:tcW w:w="1128"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中国共产主义青年团皮山县委员会2023年没有使用政府性基金预算拨款安排的支出，政府性基金预算支出情况表为空表。</w:t>
            </w:r>
          </w:p>
        </w:tc>
      </w:tr>
    </w:tbl>
    <w:p>
      <w:pPr>
        <w:rPr>
          <w:rFonts w:hint="default" w:ascii="Times New Roman" w:hAnsi="Times New Roman" w:cs="Times New Roman"/>
        </w:rPr>
      </w:pPr>
    </w:p>
    <w:p>
      <w:pPr>
        <w:rPr>
          <w:rFonts w:hint="default" w:ascii="Times New Roman" w:hAnsi="Times New Roman" w:cs="Times New Roman"/>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49"/>
        <w:gridCol w:w="450"/>
        <w:gridCol w:w="581"/>
        <w:gridCol w:w="1680"/>
        <w:gridCol w:w="1369"/>
        <w:gridCol w:w="311"/>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cs="Times New Roman"/>
              </w:rPr>
            </w:pPr>
            <w:r>
              <w:rPr>
                <w:rFonts w:hint="default" w:ascii="Times New Roman" w:hAnsi="Times New Roman" w:eastAsia="仿宋" w:cs="Times New Roman"/>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29" w:type="dxa"/>
            <w:gridSpan w:val="5"/>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3671" w:type="dxa"/>
            <w:gridSpan w:val="3"/>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w:t>
            </w:r>
          </w:p>
        </w:tc>
        <w:tc>
          <w:tcPr>
            <w:tcW w:w="5040"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类</w:t>
            </w:r>
          </w:p>
        </w:tc>
        <w:tc>
          <w:tcPr>
            <w:tcW w:w="45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款</w:t>
            </w: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项</w:t>
            </w:r>
          </w:p>
        </w:tc>
        <w:tc>
          <w:tcPr>
            <w:tcW w:w="1680" w:type="dxa"/>
          </w:tcPr>
          <w:p>
            <w:pPr>
              <w:rPr>
                <w:rFonts w:hint="default" w:ascii="Times New Roman" w:hAnsi="Times New Roman" w:cs="Times New Roman"/>
              </w:rPr>
            </w:pPr>
          </w:p>
        </w:tc>
        <w:tc>
          <w:tcPr>
            <w:tcW w:w="1680"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4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Times New Roman" w:hAnsi="Times New Roman" w:cs="Times New Roman" w:eastAsiaTheme="minorEastAsia"/>
                <w:lang w:eastAsia="zh-CN"/>
              </w:rPr>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9" w:type="dxa"/>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581"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9" w:type="dxa"/>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581"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9" w:type="dxa"/>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581"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9" w:type="dxa"/>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581"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9" w:type="dxa"/>
          </w:tcPr>
          <w:p>
            <w:pPr>
              <w:rPr>
                <w:rFonts w:hint="default" w:ascii="Times New Roman" w:hAnsi="Times New Roman" w:cs="Times New Roman"/>
              </w:rPr>
            </w:pPr>
          </w:p>
        </w:tc>
        <w:tc>
          <w:tcPr>
            <w:tcW w:w="450" w:type="dxa"/>
          </w:tcPr>
          <w:p>
            <w:pPr>
              <w:rPr>
                <w:rFonts w:hint="default" w:ascii="Times New Roman" w:hAnsi="Times New Roman" w:cs="Times New Roman"/>
              </w:rPr>
            </w:pPr>
          </w:p>
        </w:tc>
        <w:tc>
          <w:tcPr>
            <w:tcW w:w="581" w:type="dxa"/>
            <w:shd w:val="clear" w:color="auto" w:fill="auto"/>
            <w:vAlign w:val="center"/>
          </w:tcPr>
          <w:p>
            <w:pPr>
              <w:ind w:left="30" w:leftChars="0"/>
              <w:jc w:val="left"/>
              <w:rPr>
                <w:rFonts w:hint="eastAsia" w:ascii="Times New Roman" w:hAnsi="Times New Roman" w:cs="Times New Roman" w:eastAsiaTheme="minorEastAsia"/>
                <w:sz w:val="21"/>
                <w:szCs w:val="22"/>
                <w:lang w:eastAsia="zh-CN"/>
              </w:rPr>
            </w:pPr>
          </w:p>
        </w:tc>
        <w:tc>
          <w:tcPr>
            <w:tcW w:w="1680" w:type="dxa"/>
            <w:shd w:val="clear" w:color="auto" w:fill="auto"/>
            <w:vAlign w:val="center"/>
          </w:tcPr>
          <w:p>
            <w:pPr>
              <w:ind w:left="30" w:leftChars="0"/>
              <w:jc w:val="left"/>
              <w:rPr>
                <w:rFonts w:hint="default" w:ascii="Times New Roman" w:hAnsi="Times New Roman" w:cs="Times New Roman" w:eastAsiaTheme="minorEastAsia"/>
                <w:sz w:val="21"/>
                <w:szCs w:val="22"/>
              </w:rPr>
            </w:pPr>
            <w:r>
              <w:rPr>
                <w:rFonts w:hint="default" w:ascii="Times New Roman" w:hAnsi="Times New Roman" w:eastAsia="仿宋" w:cs="Times New Roman"/>
                <w:position w:val="8"/>
                <w:sz w:val="20"/>
              </w:rPr>
              <w:t>合计</w:t>
            </w:r>
          </w:p>
        </w:tc>
        <w:tc>
          <w:tcPr>
            <w:tcW w:w="1680" w:type="dxa"/>
            <w:gridSpan w:val="2"/>
          </w:tcPr>
          <w:p>
            <w:pPr>
              <w:rPr>
                <w:rFonts w:hint="default" w:ascii="Times New Roman" w:hAnsi="Times New Roman" w:cs="Times New Roman"/>
              </w:rPr>
            </w:pPr>
          </w:p>
        </w:tc>
        <w:tc>
          <w:tcPr>
            <w:tcW w:w="1680" w:type="dxa"/>
          </w:tcPr>
          <w:p>
            <w:pPr>
              <w:rPr>
                <w:rFonts w:hint="default" w:ascii="Times New Roman" w:hAnsi="Times New Roman" w:cs="Times New Roman"/>
              </w:rPr>
            </w:pPr>
          </w:p>
        </w:tc>
        <w:tc>
          <w:tcPr>
            <w:tcW w:w="1680" w:type="dxa"/>
          </w:tcPr>
          <w:p>
            <w:pPr>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中国共产主义青年团皮山县委员会2023年没有安排国有资本经营预算的支出，国有资本经营预算支出情况表为空表。</w:t>
            </w:r>
          </w:p>
        </w:tc>
      </w:tr>
    </w:tbl>
    <w:p>
      <w:pPr>
        <w:rPr>
          <w:rFonts w:hint="default" w:ascii="Times New Roman" w:hAnsi="Times New Roman" w:cs="Times New Roman"/>
        </w:rPr>
      </w:pPr>
      <w:r>
        <w:rPr>
          <w:rFonts w:hint="default" w:ascii="Times New Roman" w:hAnsi="Times New Roman" w:cs="Times New Roman"/>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00"/>
        <w:gridCol w:w="560"/>
        <w:gridCol w:w="840"/>
        <w:gridCol w:w="84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ind w:left="150"/>
              <w:jc w:val="left"/>
              <w:rPr>
                <w:rFonts w:hint="default" w:ascii="Times New Roman" w:hAnsi="Times New Roman" w:eastAsia="仿宋" w:cs="Times New Roman"/>
                <w:position w:val="8"/>
                <w:sz w:val="20"/>
              </w:rPr>
            </w:pPr>
          </w:p>
          <w:p>
            <w:pPr>
              <w:jc w:val="left"/>
              <w:rPr>
                <w:rFonts w:hint="default" w:ascii="Times New Roman" w:hAnsi="Times New Roman" w:cs="Times New Roman"/>
              </w:rPr>
            </w:pPr>
            <w:r>
              <w:rPr>
                <w:rFonts w:hint="default" w:ascii="Times New Roman" w:hAnsi="Times New Roman" w:eastAsia="仿宋" w:cs="Times New Roman"/>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rPr>
                <w:rFonts w:hint="default" w:ascii="Times New Roman" w:hAnsi="Times New Roman" w:cs="Times New Roman"/>
              </w:rPr>
            </w:pPr>
            <w:r>
              <w:rPr>
                <w:rFonts w:hint="default" w:ascii="Times New Roman" w:hAnsi="Times New Roman" w:eastAsia="黑体" w:cs="Times New Roman"/>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3"/>
            <w:tcBorders>
              <w:top w:val="nil"/>
              <w:left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编制单位：中国共产主义青年团皮山县委员会</w:t>
            </w:r>
          </w:p>
        </w:tc>
        <w:tc>
          <w:tcPr>
            <w:tcW w:w="4200" w:type="dxa"/>
            <w:gridSpan w:val="3"/>
            <w:tcBorders>
              <w:top w:val="nil"/>
              <w:left w:val="nil"/>
              <w:right w:val="nil"/>
            </w:tcBorders>
            <w:vAlign w:val="center"/>
          </w:tcPr>
          <w:p>
            <w:pPr>
              <w:ind w:left="150"/>
              <w:jc w:val="right"/>
              <w:rPr>
                <w:rFonts w:hint="default" w:ascii="Times New Roman" w:hAnsi="Times New Roman" w:cs="Times New Roman"/>
              </w:rPr>
            </w:pPr>
            <w:r>
              <w:rPr>
                <w:rFonts w:hint="default" w:ascii="Times New Roman" w:hAnsi="Times New Roman" w:eastAsia="仿宋" w:cs="Times New Roman"/>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vMerge w:val="restart"/>
            <w:tcBorders>
              <w:top w:val="single" w:color="auto" w:sz="0" w:space="0"/>
              <w:left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三公支出内容</w:t>
            </w:r>
          </w:p>
        </w:tc>
        <w:tc>
          <w:tcPr>
            <w:tcW w:w="560" w:type="dxa"/>
            <w:vMerge w:val="restart"/>
            <w:tcBorders>
              <w:top w:val="single" w:color="auto" w:sz="0" w:space="0"/>
              <w:left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合计</w:t>
            </w:r>
          </w:p>
        </w:tc>
        <w:tc>
          <w:tcPr>
            <w:tcW w:w="5040"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vMerge w:val="continue"/>
            <w:tcBorders>
              <w:left w:val="single" w:color="auto" w:sz="0" w:space="0"/>
              <w:right w:val="single" w:color="auto" w:sz="0" w:space="0"/>
            </w:tcBorders>
          </w:tcPr>
          <w:p>
            <w:pPr>
              <w:rPr>
                <w:rFonts w:hint="default" w:ascii="Times New Roman" w:hAnsi="Times New Roman" w:cs="Times New Roman"/>
              </w:rPr>
            </w:pPr>
          </w:p>
        </w:tc>
        <w:tc>
          <w:tcPr>
            <w:tcW w:w="560" w:type="dxa"/>
            <w:vMerge w:val="continue"/>
            <w:tcBorders>
              <w:left w:val="single" w:color="auto" w:sz="0" w:space="0"/>
              <w:right w:val="single" w:color="auto" w:sz="0" w:space="0"/>
            </w:tcBorders>
          </w:tcPr>
          <w:p>
            <w:pPr>
              <w:rPr>
                <w:rFonts w:hint="default" w:ascii="Times New Roman" w:hAnsi="Times New Roman" w:cs="Times New Roma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一般公共预算</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Times New Roman" w:hAnsi="Times New Roman" w:cs="Times New Roman"/>
              </w:rPr>
            </w:pPr>
            <w:r>
              <w:rPr>
                <w:rFonts w:hint="default" w:ascii="Times New Roman" w:hAnsi="Times New Roman" w:eastAsia="黑体" w:cs="Times New Roman"/>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合计</w:t>
            </w:r>
          </w:p>
        </w:tc>
        <w:tc>
          <w:tcPr>
            <w:tcW w:w="5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因公出国(境)费用</w:t>
            </w:r>
          </w:p>
        </w:tc>
        <w:tc>
          <w:tcPr>
            <w:tcW w:w="5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公务接待费</w:t>
            </w:r>
          </w:p>
        </w:tc>
        <w:tc>
          <w:tcPr>
            <w:tcW w:w="5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公务用车购置及运行费（小计）</w:t>
            </w:r>
          </w:p>
        </w:tc>
        <w:tc>
          <w:tcPr>
            <w:tcW w:w="5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其中：公务用车购置费</w:t>
            </w:r>
          </w:p>
        </w:tc>
        <w:tc>
          <w:tcPr>
            <w:tcW w:w="5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rPr>
                <w:rFonts w:hint="default" w:ascii="Times New Roman" w:hAnsi="Times New Roman" w:cs="Times New Roman"/>
              </w:rPr>
            </w:pPr>
            <w:r>
              <w:rPr>
                <w:rFonts w:hint="default" w:ascii="Times New Roman" w:hAnsi="Times New Roman" w:eastAsia="仿宋" w:cs="Times New Roman"/>
                <w:position w:val="8"/>
                <w:sz w:val="20"/>
              </w:rPr>
              <w:t>公务用车运行费</w:t>
            </w:r>
          </w:p>
        </w:tc>
        <w:tc>
          <w:tcPr>
            <w:tcW w:w="5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Times New Roman" w:hAnsi="Times New Roman" w:cs="Times New Roman"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left w:val="nil"/>
              <w:bottom w:val="nil"/>
              <w:right w:val="nil"/>
            </w:tcBorders>
            <w:vAlign w:val="center"/>
          </w:tcPr>
          <w:p>
            <w:pPr>
              <w:ind w:left="150"/>
              <w:jc w:val="left"/>
              <w:rPr>
                <w:rFonts w:hint="default" w:ascii="Times New Roman" w:hAnsi="Times New Roman" w:cs="Times New Roman"/>
              </w:rPr>
            </w:pPr>
            <w:r>
              <w:rPr>
                <w:rFonts w:hint="default" w:ascii="Times New Roman" w:hAnsi="Times New Roman" w:eastAsia="仿宋" w:cs="Times New Roman"/>
                <w:position w:val="8"/>
                <w:sz w:val="20"/>
              </w:rPr>
              <w:t>中国共产主义青年团皮山县委员会2023年没有使用财政拨款“三公”经费安排的支出，财政拨款“三公”经费支出情况表为空表。</w:t>
            </w:r>
          </w:p>
        </w:tc>
      </w:tr>
    </w:tbl>
    <w:p>
      <w:pPr>
        <w:rPr>
          <w:rFonts w:hint="default" w:ascii="Times New Roman" w:hAnsi="Times New Roman" w:cs="Times New Roman"/>
        </w:rPr>
      </w:pPr>
      <w:r>
        <w:rPr>
          <w:rFonts w:hint="default" w:ascii="Times New Roman" w:hAnsi="Times New Roman" w:cs="Times New Roman"/>
        </w:rPr>
        <w:br w:type="textWrapping"/>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ind w:left="200" w:right="200" w:firstLine="500"/>
        <w:jc w:val="center"/>
        <w:rPr>
          <w:rFonts w:hint="default" w:ascii="Times New Roman" w:hAnsi="Times New Roman" w:eastAsia="黑体" w:cs="Times New Roman"/>
          <w:position w:val="30"/>
          <w:sz w:val="42"/>
        </w:rPr>
      </w:pPr>
    </w:p>
    <w:p>
      <w:pPr>
        <w:ind w:left="200" w:right="200" w:firstLine="500"/>
        <w:jc w:val="center"/>
        <w:rPr>
          <w:rFonts w:hint="default" w:ascii="Times New Roman" w:hAnsi="Times New Roman" w:eastAsia="黑体" w:cs="Times New Roman"/>
          <w:position w:val="30"/>
          <w:sz w:val="42"/>
        </w:rPr>
      </w:pPr>
    </w:p>
    <w:p>
      <w:pPr>
        <w:ind w:left="200" w:right="200" w:firstLine="500"/>
        <w:jc w:val="center"/>
        <w:rPr>
          <w:rFonts w:hint="default" w:ascii="Times New Roman" w:hAnsi="Times New Roman" w:eastAsia="黑体" w:cs="Times New Roman"/>
          <w:position w:val="30"/>
          <w:sz w:val="42"/>
        </w:rPr>
      </w:pPr>
    </w:p>
    <w:p>
      <w:pPr>
        <w:ind w:left="200" w:right="200" w:firstLine="500"/>
        <w:jc w:val="center"/>
        <w:rPr>
          <w:rFonts w:hint="default" w:ascii="Times New Roman" w:hAnsi="Times New Roman" w:eastAsia="黑体" w:cs="Times New Roman"/>
          <w:position w:val="30"/>
          <w:sz w:val="42"/>
        </w:rPr>
      </w:pPr>
    </w:p>
    <w:p>
      <w:pPr>
        <w:ind w:left="200" w:right="200" w:firstLine="500"/>
        <w:jc w:val="center"/>
        <w:rPr>
          <w:rFonts w:hint="default" w:ascii="Times New Roman" w:hAnsi="Times New Roman" w:eastAsia="黑体" w:cs="Times New Roman"/>
          <w:position w:val="30"/>
          <w:sz w:val="42"/>
        </w:rPr>
      </w:pPr>
    </w:p>
    <w:p>
      <w:pPr>
        <w:ind w:left="200" w:right="200" w:firstLine="500"/>
        <w:jc w:val="center"/>
        <w:rPr>
          <w:rFonts w:hint="default" w:ascii="Times New Roman" w:hAnsi="Times New Roman" w:eastAsia="黑体" w:cs="Times New Roman"/>
          <w:position w:val="30"/>
          <w:sz w:val="4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黑体" w:hAnsi="黑体" w:eastAsia="黑体" w:cs="Times New Roman"/>
          <w:color w:val="auto"/>
          <w:kern w:val="0"/>
          <w:sz w:val="32"/>
          <w:szCs w:val="32"/>
          <w:highlight w:val="none"/>
          <w:lang w:val="en-US" w:eastAsia="zh-CN" w:bidi="ar-SA"/>
        </w:rPr>
      </w:pPr>
      <w:r>
        <w:rPr>
          <w:rFonts w:hint="default" w:ascii="黑体" w:hAnsi="黑体" w:eastAsia="黑体" w:cs="Times New Roman"/>
          <w:color w:val="auto"/>
          <w:kern w:val="0"/>
          <w:sz w:val="32"/>
          <w:szCs w:val="32"/>
          <w:highlight w:val="none"/>
          <w:lang w:val="en-US" w:eastAsia="zh-CN" w:bidi="ar-SA"/>
        </w:rPr>
        <w:t>第三部分2023年单位预算情况说明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一、关于中国共产主义青年团皮山县委员会2023年收支预算情况的总体说明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按照全口径预算的原则，中国共产主义青年团皮山县委员会2023年所有收入和支出均纳入单位预算管理。收支总预算84.7</w:t>
      </w:r>
      <w:r>
        <w:rPr>
          <w:rFonts w:hint="eastAsia" w:ascii="仿宋_GB2312" w:hAnsi="宋体" w:eastAsia="仿宋_GB2312" w:cs="宋体"/>
          <w:color w:val="auto"/>
          <w:spacing w:val="-6"/>
          <w:kern w:val="0"/>
          <w:sz w:val="32"/>
          <w:szCs w:val="32"/>
          <w:highlight w:val="none"/>
          <w:lang w:val="en-US" w:eastAsia="zh-CN" w:bidi="ar-SA"/>
        </w:rPr>
        <w:t>8</w:t>
      </w:r>
      <w:r>
        <w:rPr>
          <w:rFonts w:hint="default" w:ascii="仿宋_GB2312" w:hAnsi="宋体" w:eastAsia="仿宋_GB2312" w:cs="宋体"/>
          <w:color w:val="auto"/>
          <w:spacing w:val="-6"/>
          <w:kern w:val="0"/>
          <w:sz w:val="32"/>
          <w:szCs w:val="32"/>
          <w:highlight w:val="none"/>
          <w:lang w:val="en-US" w:eastAsia="zh-CN" w:bidi="ar-SA"/>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收入预算包括：财政拨款、一般公共预算。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Times New Roman" w:hAnsi="Times New Roman" w:cs="Times New Roman"/>
        </w:rPr>
      </w:pPr>
      <w:r>
        <w:rPr>
          <w:rFonts w:hint="default" w:ascii="仿宋_GB2312" w:hAnsi="宋体" w:eastAsia="仿宋_GB2312" w:cs="宋体"/>
          <w:color w:val="auto"/>
          <w:spacing w:val="-6"/>
          <w:kern w:val="0"/>
          <w:sz w:val="32"/>
          <w:szCs w:val="32"/>
          <w:highlight w:val="none"/>
          <w:lang w:val="en-US" w:eastAsia="zh-CN" w:bidi="ar-SA"/>
        </w:rPr>
        <w:t>支出预算包括：其他支出、一般公共服务支出、社会保障和就业支出。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二、关于中国共产主义青年团皮山县委员会2023年收入预算情况说明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中国共产主义青年团皮山县委员会收入预算84.</w:t>
      </w:r>
      <w:r>
        <w:rPr>
          <w:rFonts w:hint="eastAsia" w:ascii="仿宋_GB2312" w:hAnsi="宋体" w:eastAsia="仿宋_GB2312" w:cs="宋体"/>
          <w:color w:val="auto"/>
          <w:spacing w:val="-6"/>
          <w:kern w:val="0"/>
          <w:sz w:val="32"/>
          <w:szCs w:val="32"/>
          <w:highlight w:val="none"/>
          <w:lang w:val="en-US" w:eastAsia="zh-CN" w:bidi="ar-SA"/>
        </w:rPr>
        <w:t>78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一般公共预算75.</w:t>
      </w:r>
      <w:r>
        <w:rPr>
          <w:rFonts w:hint="eastAsia" w:ascii="仿宋_GB2312" w:hAnsi="宋体" w:eastAsia="仿宋_GB2312" w:cs="宋体"/>
          <w:color w:val="auto"/>
          <w:spacing w:val="-6"/>
          <w:kern w:val="0"/>
          <w:sz w:val="32"/>
          <w:szCs w:val="32"/>
          <w:highlight w:val="none"/>
          <w:lang w:val="en-US" w:eastAsia="zh-CN" w:bidi="ar-SA"/>
        </w:rPr>
        <w:t>39</w:t>
      </w:r>
      <w:r>
        <w:rPr>
          <w:rFonts w:hint="default" w:ascii="仿宋_GB2312" w:hAnsi="宋体" w:eastAsia="仿宋_GB2312" w:cs="宋体"/>
          <w:color w:val="auto"/>
          <w:spacing w:val="-6"/>
          <w:kern w:val="0"/>
          <w:sz w:val="32"/>
          <w:szCs w:val="32"/>
          <w:highlight w:val="none"/>
          <w:lang w:val="en-US" w:eastAsia="zh-CN" w:bidi="ar-SA"/>
        </w:rPr>
        <w:t>万元，占88.92%，比上年预算减少175.65万元，下降69.97%，主要原因是2023年平衡预算，西部计划志愿者经费未做特定类项目，未纳入预算。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财政拨款结转9.39万元，占11.08%，比上年预算增加9.39万元，增长100.00%，主要原因是2022年做预算时为将上年结转纳入年初预算，2023年做预算平衡将2022年财政拨款结转9.39万元纳入预算。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三、关于中国共产主义青年团皮山县委员会2023年支出预算情况说明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中国共产主义青年团皮山县委员会2023年支出预算84.78万元，其中：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基本支出75.39万元，占88.92%，比上年预算减少175.65万元，下降69.97%，主要原因是2023年平衡预算，西部计划志愿者经费未做特定类项目，未纳入预算。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项目支出9.39万元，占11.08%，比上年预算减少172.61万元，下降94.84%，主要原因是2023年平衡预算，西部计划志愿者经费未做特定类项目，未纳入预算。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四、关于中国共产主义青年团皮山县委员会2023年财政拨款收支预算情况的总体说明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2023年财政拨款收支总预算75.39万元。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收入预算包括：一般公共预算拨款75.39万元。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一般公共预算支出包括：一般公共服务支出65.07万元，主要用于单位职工工资发放。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社会保障和就业支出10.32万元，主要用于发放基本养老保险及职业年金。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五、关于中国共产主义青年团皮山县委员会2023年一般公共预算当年拨款情况说明</w:t>
      </w:r>
    </w:p>
    <w:p>
      <w:pPr>
        <w:spacing w:before="150"/>
        <w:ind w:left="200" w:right="200" w:firstLine="500"/>
        <w:jc w:val="both"/>
        <w:rPr>
          <w:rFonts w:hint="default" w:ascii="楷体_GB2312" w:hAnsi="楷体_GB2312" w:eastAsia="楷体_GB2312" w:cs="楷体_GB2312"/>
          <w:b/>
          <w:bCs w:val="0"/>
          <w:color w:val="auto"/>
          <w:kern w:val="0"/>
          <w:sz w:val="32"/>
          <w:szCs w:val="32"/>
          <w:highlight w:val="none"/>
          <w:lang w:val="en-US" w:eastAsia="zh-CN" w:bidi="ar-SA"/>
        </w:rPr>
      </w:pPr>
      <w:bookmarkStart w:id="0" w:name="_GoBack"/>
      <w:r>
        <w:rPr>
          <w:rFonts w:hint="default" w:ascii="楷体_GB2312" w:hAnsi="楷体_GB2312" w:eastAsia="楷体_GB2312" w:cs="楷体_GB2312"/>
          <w:b/>
          <w:bCs w:val="0"/>
          <w:color w:val="auto"/>
          <w:kern w:val="0"/>
          <w:sz w:val="32"/>
          <w:szCs w:val="32"/>
          <w:highlight w:val="none"/>
          <w:lang w:val="en-US" w:eastAsia="zh-CN" w:bidi="ar-SA"/>
        </w:rPr>
        <w:t>（一）一般公共预算当年拨款规模变化情况</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中国共产主义青年团皮山县委员会2023年一般公共预算拨款合计75.39万元，其中：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基本支出75.39万元，比上年预算增加6.35万元，增长9.20%。主要原因是：单位职工工资调增。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项目支出0万元，比上年预算减少182万元，下降100%。主要原因是：2023年平衡预算，西部计划志愿者经费未做特定类项目，未纳入预算。</w:t>
      </w:r>
    </w:p>
    <w:p>
      <w:pPr>
        <w:spacing w:before="150"/>
        <w:ind w:left="200" w:right="200" w:firstLine="500"/>
        <w:jc w:val="both"/>
        <w:rPr>
          <w:rFonts w:hint="default" w:ascii="楷体_GB2312" w:hAnsi="楷体_GB2312" w:eastAsia="楷体_GB2312" w:cs="楷体_GB2312"/>
          <w:b/>
          <w:bCs w:val="0"/>
          <w:color w:val="auto"/>
          <w:kern w:val="0"/>
          <w:sz w:val="32"/>
          <w:szCs w:val="32"/>
          <w:highlight w:val="none"/>
          <w:lang w:val="en-US" w:eastAsia="zh-CN" w:bidi="ar-SA"/>
        </w:rPr>
      </w:pPr>
      <w:r>
        <w:rPr>
          <w:rFonts w:hint="default" w:ascii="楷体_GB2312" w:hAnsi="楷体_GB2312" w:eastAsia="楷体_GB2312" w:cs="楷体_GB2312"/>
          <w:b/>
          <w:bCs w:val="0"/>
          <w:color w:val="auto"/>
          <w:kern w:val="0"/>
          <w:sz w:val="32"/>
          <w:szCs w:val="32"/>
          <w:highlight w:val="none"/>
          <w:lang w:val="en-US" w:eastAsia="zh-CN" w:bidi="ar-SA"/>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1.一般公共服务支出（类）65.07万元，占86.31%。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2.社会保障和就业支出（类）10.32万元，占13.69%。</w:t>
      </w:r>
    </w:p>
    <w:p>
      <w:pPr>
        <w:spacing w:before="150"/>
        <w:ind w:left="200" w:right="200" w:firstLine="500"/>
        <w:jc w:val="both"/>
        <w:rPr>
          <w:rFonts w:hint="default" w:ascii="楷体_GB2312" w:hAnsi="楷体_GB2312" w:eastAsia="楷体_GB2312" w:cs="楷体_GB2312"/>
          <w:b/>
          <w:bCs w:val="0"/>
          <w:color w:val="auto"/>
          <w:kern w:val="0"/>
          <w:sz w:val="32"/>
          <w:szCs w:val="32"/>
          <w:highlight w:val="none"/>
          <w:lang w:val="en-US" w:eastAsia="zh-CN" w:bidi="ar-SA"/>
        </w:rPr>
      </w:pPr>
      <w:r>
        <w:rPr>
          <w:rFonts w:hint="default" w:ascii="楷体_GB2312" w:hAnsi="楷体_GB2312" w:eastAsia="楷体_GB2312" w:cs="楷体_GB2312"/>
          <w:b/>
          <w:bCs w:val="0"/>
          <w:color w:val="auto"/>
          <w:kern w:val="0"/>
          <w:sz w:val="32"/>
          <w:szCs w:val="32"/>
          <w:highlight w:val="none"/>
          <w:lang w:val="en-US" w:eastAsia="zh-CN" w:bidi="ar-SA"/>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1.一般公共服务支出（类）群众团体事务（款）行政运行（项）:2023年预算数为65.07万元，比上年预算数增加6.21万元，增长10.55%，主要原因是：单位职工工资调增。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2.社会保障和就业支出（类）行政事业单位养老支出（款）机关事业单位基本养老保险缴费支出（项）:2023年预算数为6.88万元，比上年预算数增加0.09万元，增长1.33%，主要原因是：单位职工社保调增。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3.社会保障和就业支出（类）行政事业单位养老支出（款）机关事业单位职业年金缴费支出（项）:2023年预算数为3.44万元，比上年预算数增加0.05万元，增长1.47%，主要原因是：单位职工职业年金调增。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六、关于中国共产主义青年团皮山县委员会2023年一般公共预算基本支出情况说明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中国共产主义青年团皮山县委员会2023年一般公共预算基本支出75.39万元，其中：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人员经费73.79万元，主要包括：基本工资、津贴补贴、奖金、机关事业单位基本养老保险缴费、职业年金缴费、城镇职工基本医疗保险缴费、公务员医疗补助缴费、其他社会保障缴费、住房公积金、离休费、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公用经费1.6万元，主要包括：办公费。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七、关于中国共产主义青年团皮山县委员会2023年一般公共预算项目支出情况说明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八、关于中国共产主义青年团皮山县委员会2023年政府性基金预算拨款情况说明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九、关于中国共产主义青年团皮山县委员会2023年国有资本经营预算拨款情况说明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十、关于中国共产主义青年团皮山县委员会2023年财政拨款“三公”经费预算情况说明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中国共产主义青年团皮山县委员会2023年财政拨款“三公”经费数为0万元，其中：因公出国（境）费0万元，公务用车购置费0万元，公务用车运行费0万元，公务接待费0万元。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黑体" w:hAnsi="黑体" w:eastAsia="黑体" w:cs="黑体"/>
          <w:b w:val="0"/>
          <w:bCs/>
          <w:color w:val="auto"/>
          <w:kern w:val="0"/>
          <w:sz w:val="32"/>
          <w:szCs w:val="32"/>
          <w:highlight w:val="none"/>
          <w:lang w:val="en-US" w:eastAsia="zh-CN" w:bidi="ar-SA"/>
        </w:rPr>
      </w:pPr>
      <w:r>
        <w:rPr>
          <w:rFonts w:hint="default" w:ascii="黑体" w:hAnsi="黑体" w:eastAsia="黑体" w:cs="黑体"/>
          <w:b w:val="0"/>
          <w:bCs/>
          <w:color w:val="auto"/>
          <w:kern w:val="0"/>
          <w:sz w:val="32"/>
          <w:szCs w:val="32"/>
          <w:highlight w:val="none"/>
          <w:lang w:val="en-US" w:eastAsia="zh-CN" w:bidi="ar-SA"/>
        </w:rPr>
        <w:t>十一、其他重要事项的情况说明</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（一）机关运行经费情况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2023年，中国共产主义青年团皮山县委员会本级及下属0家行政单位和0家事业单位的机关运行经费财政拨款预算1.6万元，比上年预算增加0万元，增长0%。主要原因是无。</w:t>
      </w:r>
    </w:p>
    <w:p>
      <w:pPr>
        <w:spacing w:before="150"/>
        <w:ind w:left="200" w:right="200" w:firstLine="500"/>
        <w:jc w:val="both"/>
        <w:rPr>
          <w:rFonts w:hint="default" w:ascii="楷体_GB2312" w:hAnsi="楷体_GB2312" w:eastAsia="楷体_GB2312" w:cs="楷体_GB2312"/>
          <w:b/>
          <w:bCs w:val="0"/>
          <w:color w:val="auto"/>
          <w:kern w:val="0"/>
          <w:sz w:val="32"/>
          <w:szCs w:val="32"/>
          <w:highlight w:val="none"/>
          <w:lang w:val="en-US" w:eastAsia="zh-CN" w:bidi="ar-SA"/>
        </w:rPr>
      </w:pPr>
      <w:r>
        <w:rPr>
          <w:rFonts w:hint="default" w:ascii="楷体_GB2312" w:hAnsi="楷体_GB2312" w:eastAsia="楷体_GB2312" w:cs="楷体_GB2312"/>
          <w:b/>
          <w:bCs w:val="0"/>
          <w:color w:val="auto"/>
          <w:kern w:val="0"/>
          <w:sz w:val="32"/>
          <w:szCs w:val="32"/>
          <w:highlight w:val="none"/>
          <w:lang w:val="en-US" w:eastAsia="zh-CN" w:bidi="ar-SA"/>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2023年，中国共产主义青年团皮山县委员会政府采购预算0万元，其中：政府采购货物预算0万元，政府采购工程预算0万元，政府采购服务预算0万元。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2023年度本单位面向中小企业预留政府采购项目预算金额0万元，其中：面向小微企业预留政府采购项目预算金额0万元。</w:t>
      </w:r>
    </w:p>
    <w:p>
      <w:pPr>
        <w:spacing w:before="150"/>
        <w:ind w:left="200" w:right="200" w:firstLine="500"/>
        <w:jc w:val="both"/>
        <w:rPr>
          <w:rFonts w:hint="default" w:ascii="楷体_GB2312" w:hAnsi="楷体_GB2312" w:eastAsia="楷体_GB2312" w:cs="楷体_GB2312"/>
          <w:b/>
          <w:bCs w:val="0"/>
          <w:color w:val="auto"/>
          <w:kern w:val="0"/>
          <w:sz w:val="32"/>
          <w:szCs w:val="32"/>
          <w:highlight w:val="none"/>
          <w:lang w:val="en-US" w:eastAsia="zh-CN" w:bidi="ar-SA"/>
        </w:rPr>
      </w:pPr>
      <w:r>
        <w:rPr>
          <w:rFonts w:hint="default" w:ascii="楷体_GB2312" w:hAnsi="楷体_GB2312" w:eastAsia="楷体_GB2312" w:cs="楷体_GB2312"/>
          <w:b/>
          <w:bCs w:val="0"/>
          <w:color w:val="auto"/>
          <w:kern w:val="0"/>
          <w:sz w:val="32"/>
          <w:szCs w:val="32"/>
          <w:highlight w:val="none"/>
          <w:lang w:val="en-US" w:eastAsia="zh-CN" w:bidi="ar-SA"/>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截至2022年底，中国共产主义青年团皮山县委员会及下属各预算单位占用使用国有资产总体情况为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1.房屋0平方米，价值0万元。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3.办公家具价值6.2223万元。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2023年单位预算安排购置车辆经费0万元，安排购置50万元以上大型设备0台，单位价值100万元以上大型设备0台。</w:t>
      </w:r>
    </w:p>
    <w:p>
      <w:pPr>
        <w:spacing w:before="150"/>
        <w:ind w:left="200" w:right="200" w:firstLine="500"/>
        <w:jc w:val="both"/>
        <w:rPr>
          <w:rFonts w:hint="default" w:ascii="楷体_GB2312" w:hAnsi="楷体_GB2312" w:eastAsia="楷体_GB2312" w:cs="楷体_GB2312"/>
          <w:b/>
          <w:bCs w:val="0"/>
          <w:color w:val="auto"/>
          <w:kern w:val="0"/>
          <w:sz w:val="32"/>
          <w:szCs w:val="32"/>
          <w:highlight w:val="none"/>
          <w:lang w:val="en-US" w:eastAsia="zh-CN" w:bidi="ar-SA"/>
        </w:rPr>
      </w:pPr>
      <w:r>
        <w:rPr>
          <w:rFonts w:hint="default" w:ascii="楷体_GB2312" w:hAnsi="楷体_GB2312" w:eastAsia="楷体_GB2312" w:cs="楷体_GB2312"/>
          <w:b/>
          <w:bCs w:val="0"/>
          <w:color w:val="auto"/>
          <w:kern w:val="0"/>
          <w:sz w:val="32"/>
          <w:szCs w:val="32"/>
          <w:highlight w:val="none"/>
          <w:lang w:val="en-US" w:eastAsia="zh-CN" w:bidi="ar-SA"/>
        </w:rPr>
        <w:t>（四）预算绩效情况</w:t>
      </w:r>
    </w:p>
    <w:p>
      <w:pPr>
        <w:ind w:left="200" w:right="200" w:firstLine="500"/>
        <w:jc w:val="both"/>
        <w:rPr>
          <w:rFonts w:hint="default" w:ascii="Times New Roman" w:hAnsi="Times New Roman" w:cs="Times New Roman"/>
        </w:rPr>
      </w:pPr>
      <w:r>
        <w:rPr>
          <w:rFonts w:hint="default" w:ascii="仿宋_GB2312" w:hAnsi="宋体" w:eastAsia="仿宋_GB2312" w:cs="宋体"/>
          <w:color w:val="auto"/>
          <w:spacing w:val="-6"/>
          <w:kern w:val="0"/>
          <w:sz w:val="32"/>
          <w:szCs w:val="32"/>
          <w:highlight w:val="none"/>
          <w:lang w:val="en-US" w:eastAsia="zh-CN" w:bidi="ar-SA"/>
        </w:rPr>
        <w:t>2023年，本年度预算绩效管理的财政拨款项目0个，涉及预算金额0万元；非财政拨款项目0个，涉及预算金额0万元。</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（五）其他需说明的事项</w:t>
      </w:r>
    </w:p>
    <w:p>
      <w:pPr>
        <w:ind w:left="200" w:right="200" w:firstLine="500"/>
        <w:jc w:val="both"/>
        <w:rPr>
          <w:rFonts w:hint="default" w:ascii="仿宋_GB2312" w:hAnsi="宋体" w:eastAsia="仿宋_GB2312" w:cs="宋体"/>
          <w:color w:val="auto"/>
          <w:spacing w:val="-6"/>
          <w:kern w:val="0"/>
          <w:sz w:val="32"/>
          <w:szCs w:val="32"/>
          <w:highlight w:val="none"/>
          <w:lang w:val="en-US" w:eastAsia="zh-CN" w:bidi="ar-SA"/>
        </w:rPr>
      </w:pPr>
      <w:r>
        <w:rPr>
          <w:rFonts w:hint="default" w:ascii="仿宋_GB2312" w:hAnsi="宋体" w:eastAsia="仿宋_GB2312" w:cs="宋体"/>
          <w:color w:val="auto"/>
          <w:spacing w:val="-6"/>
          <w:kern w:val="0"/>
          <w:sz w:val="32"/>
          <w:szCs w:val="32"/>
          <w:highlight w:val="none"/>
          <w:lang w:val="en-US" w:eastAsia="zh-CN" w:bidi="ar-SA"/>
        </w:rPr>
        <w:t>无其他需要说明的事项。</w:t>
      </w:r>
    </w:p>
    <w:p>
      <w:pPr>
        <w:rPr>
          <w:rFonts w:hint="default" w:ascii="Times New Roman" w:hAnsi="Times New Roman" w:cs="Times New Roman"/>
        </w:rPr>
      </w:pPr>
      <w:r>
        <w:rPr>
          <w:rFonts w:hint="default" w:ascii="Times New Roman" w:hAnsi="Times New Roman" w:cs="Times New Roman"/>
        </w:rPr>
        <w:br w:type="textWrapping"/>
      </w:r>
    </w:p>
    <w:p>
      <w:pPr>
        <w:rPr>
          <w:rFonts w:hint="default" w:ascii="Times New Roman" w:hAnsi="Times New Roman" w:cs="Times New Roman"/>
        </w:rPr>
      </w:pPr>
    </w:p>
    <w:p>
      <w:pPr>
        <w:rPr>
          <w:rFonts w:hint="default" w:ascii="黑体" w:hAnsi="黑体" w:eastAsia="黑体" w:cs="Times New Roman"/>
          <w:color w:val="auto"/>
          <w:kern w:val="0"/>
          <w:sz w:val="32"/>
          <w:szCs w:val="32"/>
          <w:highlight w:val="none"/>
          <w:lang w:val="en-US" w:eastAsia="zh-CN" w:bidi="ar-SA"/>
        </w:rPr>
      </w:pPr>
      <w:r>
        <w:rPr>
          <w:rFonts w:hint="default" w:ascii="黑体" w:hAnsi="黑体" w:eastAsia="黑体" w:cs="Times New Roman"/>
          <w:color w:val="auto"/>
          <w:kern w:val="0"/>
          <w:sz w:val="32"/>
          <w:szCs w:val="32"/>
          <w:highlight w:val="none"/>
          <w:lang w:val="en-US" w:eastAsia="zh-CN" w:bidi="ar-SA"/>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黑体" w:hAnsi="黑体" w:eastAsia="黑体" w:cs="Times New Roman"/>
          <w:color w:val="auto"/>
          <w:kern w:val="0"/>
          <w:sz w:val="32"/>
          <w:szCs w:val="32"/>
          <w:highlight w:val="none"/>
          <w:lang w:val="en-US" w:eastAsia="zh-CN" w:bidi="ar-SA"/>
        </w:rPr>
      </w:pPr>
      <w:r>
        <w:rPr>
          <w:rFonts w:hint="default" w:ascii="黑体" w:hAnsi="黑体" w:eastAsia="黑体" w:cs="Times New Roman"/>
          <w:color w:val="auto"/>
          <w:kern w:val="0"/>
          <w:sz w:val="32"/>
          <w:szCs w:val="32"/>
          <w:highlight w:val="none"/>
          <w:lang w:val="en-US" w:eastAsia="zh-CN" w:bidi="ar-SA"/>
        </w:rPr>
        <w:t>第四部分名词解释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一、财政拨款：</w:t>
      </w:r>
      <w:r>
        <w:rPr>
          <w:rFonts w:hint="default" w:ascii="仿宋_GB2312" w:hAnsi="宋体" w:eastAsia="仿宋_GB2312" w:cs="宋体"/>
          <w:color w:val="auto"/>
          <w:spacing w:val="-6"/>
          <w:kern w:val="0"/>
          <w:sz w:val="32"/>
          <w:szCs w:val="32"/>
          <w:highlight w:val="none"/>
          <w:lang w:val="en-US" w:eastAsia="zh-CN" w:bidi="ar-SA"/>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楷体_GB2312" w:hAnsi="楷体_GB2312" w:eastAsia="楷体_GB2312" w:cs="楷体_GB2312"/>
          <w:b/>
          <w:bCs/>
          <w:color w:val="auto"/>
          <w:spacing w:val="-6"/>
          <w:kern w:val="0"/>
          <w:sz w:val="32"/>
          <w:szCs w:val="32"/>
          <w:highlight w:val="none"/>
          <w:lang w:val="en-US" w:eastAsia="zh-CN" w:bidi="ar-SA"/>
        </w:rPr>
        <w:t>二、一般公共预算：</w:t>
      </w:r>
      <w:r>
        <w:rPr>
          <w:rFonts w:hint="default" w:ascii="仿宋_GB2312" w:hAnsi="宋体" w:eastAsia="仿宋_GB2312" w:cs="宋体"/>
          <w:color w:val="auto"/>
          <w:spacing w:val="-6"/>
          <w:kern w:val="0"/>
          <w:sz w:val="32"/>
          <w:szCs w:val="32"/>
          <w:highlight w:val="none"/>
          <w:lang w:val="en-US" w:eastAsia="zh-CN" w:bidi="ar-SA"/>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楷体_GB2312" w:hAnsi="楷体_GB2312" w:eastAsia="楷体_GB2312" w:cs="楷体_GB2312"/>
          <w:b/>
          <w:bCs/>
          <w:color w:val="auto"/>
          <w:spacing w:val="-6"/>
          <w:kern w:val="0"/>
          <w:sz w:val="32"/>
          <w:szCs w:val="32"/>
          <w:highlight w:val="none"/>
          <w:lang w:val="en-US" w:eastAsia="zh-CN" w:bidi="ar-SA"/>
        </w:rPr>
        <w:t>三、财政专户管理资金：</w:t>
      </w:r>
      <w:r>
        <w:rPr>
          <w:rFonts w:hint="default" w:ascii="仿宋_GB2312" w:hAnsi="宋体" w:eastAsia="仿宋_GB2312" w:cs="宋体"/>
          <w:color w:val="auto"/>
          <w:spacing w:val="-6"/>
          <w:kern w:val="0"/>
          <w:sz w:val="32"/>
          <w:szCs w:val="32"/>
          <w:highlight w:val="none"/>
          <w:lang w:val="en-US" w:eastAsia="zh-CN" w:bidi="ar-SA"/>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楷体_GB2312" w:hAnsi="楷体_GB2312" w:eastAsia="楷体_GB2312" w:cs="楷体_GB2312"/>
          <w:b/>
          <w:bCs/>
          <w:color w:val="auto"/>
          <w:spacing w:val="-6"/>
          <w:kern w:val="0"/>
          <w:sz w:val="32"/>
          <w:szCs w:val="32"/>
          <w:highlight w:val="none"/>
          <w:lang w:val="en-US" w:eastAsia="zh-CN" w:bidi="ar-SA"/>
        </w:rPr>
        <w:t>四、其他资金：</w:t>
      </w:r>
      <w:r>
        <w:rPr>
          <w:rFonts w:hint="default" w:ascii="仿宋_GB2312" w:hAnsi="宋体" w:eastAsia="仿宋_GB2312" w:cs="宋体"/>
          <w:color w:val="auto"/>
          <w:spacing w:val="-6"/>
          <w:kern w:val="0"/>
          <w:sz w:val="32"/>
          <w:szCs w:val="32"/>
          <w:highlight w:val="none"/>
          <w:lang w:val="en-US" w:eastAsia="zh-CN" w:bidi="ar-SA"/>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楷体_GB2312" w:hAnsi="楷体_GB2312" w:eastAsia="楷体_GB2312" w:cs="楷体_GB2312"/>
          <w:b/>
          <w:bCs/>
          <w:color w:val="auto"/>
          <w:spacing w:val="-6"/>
          <w:kern w:val="0"/>
          <w:sz w:val="32"/>
          <w:szCs w:val="32"/>
          <w:highlight w:val="none"/>
          <w:lang w:val="en-US" w:eastAsia="zh-CN" w:bidi="ar-SA"/>
        </w:rPr>
        <w:t>五、基本支出：</w:t>
      </w:r>
      <w:r>
        <w:rPr>
          <w:rFonts w:hint="default" w:ascii="仿宋_GB2312" w:hAnsi="宋体" w:eastAsia="仿宋_GB2312" w:cs="宋体"/>
          <w:color w:val="auto"/>
          <w:spacing w:val="-6"/>
          <w:kern w:val="0"/>
          <w:sz w:val="32"/>
          <w:szCs w:val="32"/>
          <w:highlight w:val="none"/>
          <w:lang w:val="en-US" w:eastAsia="zh-CN" w:bidi="ar-SA"/>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楷体_GB2312" w:hAnsi="楷体_GB2312" w:eastAsia="楷体_GB2312" w:cs="楷体_GB2312"/>
          <w:b/>
          <w:bCs/>
          <w:color w:val="auto"/>
          <w:spacing w:val="-6"/>
          <w:kern w:val="0"/>
          <w:sz w:val="32"/>
          <w:szCs w:val="32"/>
          <w:highlight w:val="none"/>
          <w:lang w:val="en-US" w:eastAsia="zh-CN" w:bidi="ar-SA"/>
        </w:rPr>
        <w:t>六、项目支出：</w:t>
      </w:r>
      <w:r>
        <w:rPr>
          <w:rFonts w:hint="default" w:ascii="仿宋_GB2312" w:hAnsi="宋体" w:eastAsia="仿宋_GB2312" w:cs="宋体"/>
          <w:color w:val="auto"/>
          <w:spacing w:val="-6"/>
          <w:kern w:val="0"/>
          <w:sz w:val="32"/>
          <w:szCs w:val="32"/>
          <w:highlight w:val="none"/>
          <w:lang w:val="en-US" w:eastAsia="zh-CN" w:bidi="ar-SA"/>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楷体_GB2312" w:hAnsi="楷体_GB2312" w:eastAsia="楷体_GB2312" w:cs="楷体_GB2312"/>
          <w:b/>
          <w:bCs/>
          <w:color w:val="auto"/>
          <w:spacing w:val="-6"/>
          <w:kern w:val="0"/>
          <w:sz w:val="32"/>
          <w:szCs w:val="32"/>
          <w:highlight w:val="none"/>
          <w:lang w:val="en-US" w:eastAsia="zh-CN" w:bidi="ar-SA"/>
        </w:rPr>
        <w:t>七、“三公”经费：</w:t>
      </w:r>
      <w:r>
        <w:rPr>
          <w:rFonts w:hint="default" w:ascii="仿宋_GB2312" w:hAnsi="宋体" w:eastAsia="仿宋_GB2312" w:cs="宋体"/>
          <w:color w:val="auto"/>
          <w:spacing w:val="-6"/>
          <w:kern w:val="0"/>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default" w:ascii="楷体_GB2312" w:hAnsi="楷体_GB2312" w:eastAsia="楷体_GB2312" w:cs="楷体_GB2312"/>
          <w:b/>
          <w:bCs/>
          <w:color w:val="auto"/>
          <w:spacing w:val="-6"/>
          <w:kern w:val="0"/>
          <w:sz w:val="32"/>
          <w:szCs w:val="32"/>
          <w:highlight w:val="none"/>
          <w:lang w:val="en-US" w:eastAsia="zh-CN" w:bidi="ar-SA"/>
        </w:rPr>
        <w:t>八、机关运行经费：</w:t>
      </w:r>
      <w:r>
        <w:rPr>
          <w:rFonts w:hint="default" w:ascii="仿宋_GB2312" w:hAnsi="宋体" w:eastAsia="仿宋_GB2312" w:cs="宋体"/>
          <w:color w:val="auto"/>
          <w:spacing w:val="-6"/>
          <w:kern w:val="0"/>
          <w:sz w:val="32"/>
          <w:szCs w:val="32"/>
          <w:highlight w:val="none"/>
          <w:lang w:val="en-US" w:eastAsia="zh-CN" w:bidi="ar-SA"/>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right"/>
        <w:textAlignment w:val="auto"/>
        <w:rPr>
          <w:rFonts w:hint="default" w:ascii="楷体_GB2312" w:hAnsi="楷体_GB2312" w:eastAsia="楷体_GB2312" w:cs="楷体_GB2312"/>
          <w:b w:val="0"/>
          <w:bCs w:val="0"/>
          <w:color w:val="auto"/>
          <w:spacing w:val="-6"/>
          <w:kern w:val="0"/>
          <w:sz w:val="32"/>
          <w:szCs w:val="32"/>
          <w:highlight w:val="none"/>
          <w:lang w:val="en-US" w:eastAsia="zh-CN" w:bidi="ar-SA"/>
        </w:rPr>
      </w:pPr>
      <w:r>
        <w:rPr>
          <w:rFonts w:hint="default" w:ascii="楷体_GB2312" w:hAnsi="楷体_GB2312" w:eastAsia="楷体_GB2312" w:cs="楷体_GB2312"/>
          <w:b w:val="0"/>
          <w:bCs w:val="0"/>
          <w:color w:val="auto"/>
          <w:spacing w:val="-6"/>
          <w:kern w:val="0"/>
          <w:sz w:val="32"/>
          <w:szCs w:val="32"/>
          <w:highlight w:val="none"/>
          <w:lang w:val="en-US" w:eastAsia="zh-CN" w:bidi="ar-SA"/>
        </w:rPr>
        <w:t>中国共产主义青年团皮山县委员会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right"/>
        <w:textAlignment w:val="auto"/>
        <w:rPr>
          <w:rFonts w:hint="default" w:ascii="楷体_GB2312" w:hAnsi="楷体_GB2312" w:eastAsia="楷体_GB2312" w:cs="楷体_GB2312"/>
          <w:b w:val="0"/>
          <w:bCs w:val="0"/>
          <w:color w:val="auto"/>
          <w:spacing w:val="-6"/>
          <w:kern w:val="0"/>
          <w:sz w:val="32"/>
          <w:szCs w:val="32"/>
          <w:highlight w:val="none"/>
          <w:lang w:val="en-US" w:eastAsia="zh-CN" w:bidi="ar-SA"/>
        </w:rPr>
      </w:pPr>
      <w:r>
        <w:rPr>
          <w:rFonts w:hint="default" w:ascii="楷体_GB2312" w:hAnsi="楷体_GB2312" w:eastAsia="楷体_GB2312" w:cs="楷体_GB2312"/>
          <w:b w:val="0"/>
          <w:bCs w:val="0"/>
          <w:color w:val="auto"/>
          <w:spacing w:val="-6"/>
          <w:kern w:val="0"/>
          <w:sz w:val="32"/>
          <w:szCs w:val="32"/>
          <w:highlight w:val="none"/>
          <w:lang w:val="en-US" w:eastAsia="zh-CN" w:bidi="ar-SA"/>
        </w:rPr>
        <w:t>2023年1月</w:t>
      </w:r>
      <w:r>
        <w:rPr>
          <w:rFonts w:hint="eastAsia" w:ascii="楷体_GB2312" w:hAnsi="楷体_GB2312" w:eastAsia="楷体_GB2312" w:cs="楷体_GB2312"/>
          <w:b w:val="0"/>
          <w:bCs w:val="0"/>
          <w:color w:val="auto"/>
          <w:spacing w:val="-6"/>
          <w:kern w:val="0"/>
          <w:sz w:val="32"/>
          <w:szCs w:val="32"/>
          <w:highlight w:val="none"/>
          <w:lang w:val="en-US" w:eastAsia="zh-CN" w:bidi="ar-SA"/>
        </w:rPr>
        <w:t>18</w:t>
      </w:r>
      <w:r>
        <w:rPr>
          <w:rFonts w:hint="default" w:ascii="楷体_GB2312" w:hAnsi="楷体_GB2312" w:eastAsia="楷体_GB2312" w:cs="楷体_GB2312"/>
          <w:b w:val="0"/>
          <w:bCs w:val="0"/>
          <w:color w:val="auto"/>
          <w:spacing w:val="-6"/>
          <w:kern w:val="0"/>
          <w:sz w:val="32"/>
          <w:szCs w:val="32"/>
          <w:highlight w:val="none"/>
          <w:lang w:val="en-US" w:eastAsia="zh-CN" w:bidi="ar-SA"/>
        </w:rPr>
        <w:t>日</w:t>
      </w:r>
    </w:p>
    <w:sectPr>
      <w:pgMar w:top="2098" w:right="1417" w:bottom="1984" w:left="1587" w:header="720" w:footer="72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627F"/>
    <w:rsid w:val="06FA105D"/>
    <w:rsid w:val="0D887163"/>
    <w:rsid w:val="0EBE253A"/>
    <w:rsid w:val="124F406B"/>
    <w:rsid w:val="14C76C9F"/>
    <w:rsid w:val="18805DB5"/>
    <w:rsid w:val="1A733D2B"/>
    <w:rsid w:val="1DD8508E"/>
    <w:rsid w:val="223C3D2C"/>
    <w:rsid w:val="28183826"/>
    <w:rsid w:val="2C676ED9"/>
    <w:rsid w:val="2CE4344A"/>
    <w:rsid w:val="2F24410B"/>
    <w:rsid w:val="303D5597"/>
    <w:rsid w:val="30F97669"/>
    <w:rsid w:val="32547A79"/>
    <w:rsid w:val="3A1D059F"/>
    <w:rsid w:val="3FA5091F"/>
    <w:rsid w:val="41AF4D17"/>
    <w:rsid w:val="4CF73B22"/>
    <w:rsid w:val="5CEA58E7"/>
    <w:rsid w:val="612E684A"/>
    <w:rsid w:val="619F67A6"/>
    <w:rsid w:val="62026CDE"/>
    <w:rsid w:val="63B521E6"/>
    <w:rsid w:val="64096487"/>
    <w:rsid w:val="6A0F4E0F"/>
    <w:rsid w:val="6B136589"/>
    <w:rsid w:val="6BEB3B4C"/>
    <w:rsid w:val="6E2214E9"/>
    <w:rsid w:val="6E7C7053"/>
    <w:rsid w:val="6F7164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22</Pages>
  <Words>2059</Words>
  <Characters>2318</Characters>
  <TotalTime>165</TotalTime>
  <ScaleCrop>false</ScaleCrop>
  <LinksUpToDate>false</LinksUpToDate>
  <CharactersWithSpaces>2445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2023-04-20T04:55:00Z</dcterms:created>
  <dc:creator>Apache POI</dc:creator>
  <cp:lastModifiedBy>Administrator</cp:lastModifiedBy>
  <dcterms:modified xsi:type="dcterms:W3CDTF">2025-07-23T10:13:59Z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4C2D8FC8E4ED4A8180DFCA17316CD985_12</vt:lpwstr>
  </property>
  <property fmtid="{D5CDD505-2E9C-101B-9397-08002B2CF9AE}" pid="4" name="KSOTemplateDocerSaveRecord">
    <vt:lpwstr>eyJoZGlkIjoiZmJiYzM4NGMxNTU2MDViMDQzMzBjNGQ5NThlMWYxNDciLCJ1c2VySWQiOiI5NTc2ODg5MzgifQ==</vt:lpwstr>
  </property>
</Properties>
</file>