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皮山县政府投资交易中心</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单位</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皮山县政府投资交易中心单位概况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一、关于皮山县政府投资交易中心2023年收支预算情况的总体说明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二、关于皮山县政府投资交易中心2023年收入预算情况说明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三、关于皮山县政府投资交易中心2023年支出预算情况说明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四、关于皮山县政府投资交易中心2023年财政拨款收支预算情况的总体说明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五、关于皮山县政府投资交易中心2023年一般公共预算当年拨款情况说明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六、关于皮山县政府投资交易中心2023年一般公共预算基本支出情况说明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七、关于皮山县政府投资交易中心2023年一般公共预算项目支出情况说明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八、关于皮山县政府投资交易中心2023年政府性基金预算拨款情况说明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九、关于皮山县政府投资交易中心2023年国有资本经营预算拨款情况说明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十、关于皮山县政府投资交易中心2023年财政拨款“三公”经费预算情况说明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rPr>
          <w:sz w:val="40"/>
          <w:szCs w:val="40"/>
        </w:rPr>
      </w:pPr>
      <w:r>
        <w:rPr>
          <w:rFonts w:ascii="黑体" w:hAnsi="黑体" w:eastAsia="黑体" w:cs="黑体"/>
          <w:position w:val="30"/>
          <w:sz w:val="40"/>
          <w:szCs w:val="40"/>
        </w:rPr>
        <w:t>第一部分 皮山县政府投资交易中心单位概况</w:t>
      </w:r>
    </w:p>
    <w:p>
      <w:pPr>
        <w:keepNext w:val="0"/>
        <w:keepLines w:val="0"/>
        <w:pageBreakBefore w:val="0"/>
        <w:widowControl/>
        <w:kinsoku/>
        <w:wordWrap/>
        <w:overflowPunct/>
        <w:topLinePunct w:val="0"/>
        <w:autoSpaceDE/>
        <w:autoSpaceDN/>
        <w:bidi w:val="0"/>
        <w:adjustRightInd/>
        <w:snapToGrid/>
        <w:spacing w:beforeLines="0" w:line="560" w:lineRule="exact"/>
        <w:ind w:firstLine="964" w:firstLineChars="300"/>
        <w:jc w:val="both"/>
        <w:textAlignment w:val="auto"/>
        <w:outlineLvl w:val="1"/>
        <w:rPr>
          <w:rFonts w:hint="eastAsia" w:ascii="楷体_GB2312" w:hAnsi="楷体_GB2312" w:eastAsia="楷体_GB2312" w:cs="楷体_GB2312"/>
          <w:b/>
          <w:bCs w:val="0"/>
          <w:kern w:val="0"/>
          <w:sz w:val="32"/>
          <w:szCs w:val="32"/>
          <w:highlight w:val="none"/>
          <w:lang w:val="en-US" w:eastAsia="zh-CN" w:bidi="ar-SA"/>
        </w:rPr>
      </w:pPr>
      <w:r>
        <w:rPr>
          <w:rFonts w:hint="eastAsia" w:ascii="楷体_GB2312" w:hAnsi="楷体_GB2312" w:eastAsia="楷体_GB2312" w:cs="楷体_GB2312"/>
          <w:b/>
          <w:bCs w:val="0"/>
          <w:kern w:val="0"/>
          <w:sz w:val="32"/>
          <w:szCs w:val="32"/>
          <w:highlight w:val="none"/>
          <w:lang w:val="en-US" w:eastAsia="zh-CN" w:bidi="ar-SA"/>
        </w:rPr>
        <w:t>一、主要职能</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bookmarkStart w:id="0" w:name="OLE_LINK1"/>
      <w:r>
        <w:rPr>
          <w:rFonts w:hint="eastAsia" w:ascii="仿宋" w:hAnsi="仿宋" w:eastAsia="仿宋" w:cs="仿宋"/>
          <w:position w:val="10"/>
          <w:sz w:val="32"/>
          <w:szCs w:val="32"/>
          <w:lang w:val="en-US" w:eastAsia="zh-CN"/>
        </w:rPr>
        <w:t>（一）宣传政府投资交易服务相关法律法规和政策，为政府投资交易活动提供公开透明、公平竞争、公正诚信、廉洁高效的场所、设施和服务；</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（二）制定政府投资交易现场规章制度、工作流程并组织实施；</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（三）按照规定发布场内交易信息，负责为进场交易各方主体提供服务；</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（四）负责按照法律法规规定及时收退投标企业的投标保证金；</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（五）负责对进场交易项目实行交易登记，统筹合理安排交易时间和场地；</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（六）负责查验进场交易项目的相关手续和交易现场记录，对发现违法违规行为及时向行业监管部门反映；</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（七）负责收集和发布相关政策法规信息，建立投标人、供应商、中介机构和商品价格等信息库；</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hint="default"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（八）完成县委、县人民政府交办的其他任务。</w:t>
      </w:r>
      <w:bookmarkEnd w:id="0"/>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Lines="0" w:line="560" w:lineRule="exact"/>
        <w:jc w:val="left"/>
        <w:textAlignment w:val="auto"/>
        <w:rPr>
          <w:rFonts w:ascii="仿宋_GB2312" w:hAnsi="宋体" w:eastAsia="仿宋_GB2312" w:cs="宋体"/>
          <w:kern w:val="0"/>
          <w:sz w:val="32"/>
          <w:szCs w:val="32"/>
          <w:highlight w:val="none"/>
        </w:rPr>
      </w:pPr>
      <w:r>
        <w:rPr>
          <w:rFonts w:hint="eastAsia" w:ascii="黑体" w:hAnsi="黑体" w:eastAsia="黑体" w:cs="宋体"/>
          <w:b/>
          <w:bCs/>
          <w:kern w:val="0"/>
          <w:sz w:val="32"/>
          <w:szCs w:val="32"/>
          <w:highlight w:val="none"/>
        </w:rPr>
        <w:t xml:space="preserve"> </w:t>
      </w:r>
      <w:r>
        <w:rPr>
          <w:rFonts w:hint="eastAsia" w:ascii="黑体" w:hAnsi="黑体" w:eastAsia="黑体" w:cs="宋体"/>
          <w:b/>
          <w:bCs/>
          <w:kern w:val="0"/>
          <w:sz w:val="32"/>
          <w:szCs w:val="32"/>
          <w:highlight w:val="none"/>
          <w:lang w:val="en-US" w:eastAsia="zh-CN"/>
        </w:rPr>
        <w:t xml:space="preserve">   </w:t>
      </w:r>
      <w:r>
        <w:rPr>
          <w:rFonts w:hint="eastAsia" w:ascii="仿宋_GB2312" w:hAnsi="宋体" w:eastAsia="仿宋_GB2312" w:cs="宋体"/>
          <w:kern w:val="0"/>
          <w:sz w:val="32"/>
          <w:szCs w:val="32"/>
          <w:highlight w:val="none"/>
        </w:rPr>
        <w:t>从预算单位构成看，</w:t>
      </w:r>
      <w:r>
        <w:rPr>
          <w:rFonts w:hint="eastAsia" w:ascii="仿宋_GB2312" w:hAnsi="宋体" w:eastAsia="仿宋_GB2312" w:cs="宋体"/>
          <w:kern w:val="0"/>
          <w:sz w:val="32"/>
          <w:szCs w:val="32"/>
          <w:highlight w:val="none"/>
          <w:lang w:eastAsia="zh-CN"/>
        </w:rPr>
        <w:t>皮山县政府投资交易中心</w:t>
      </w:r>
      <w:r>
        <w:rPr>
          <w:rFonts w:hint="eastAsia" w:ascii="仿宋_GB2312" w:hAnsi="宋体" w:eastAsia="仿宋_GB2312" w:cs="宋体"/>
          <w:kern w:val="0"/>
          <w:sz w:val="32"/>
          <w:szCs w:val="32"/>
          <w:highlight w:val="none"/>
        </w:rPr>
        <w:t>单位的预算包括：本级预算</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家预算单位在内的汇总预算。</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rFonts w:ascii="仿宋" w:hAnsi="仿宋" w:eastAsia="仿宋" w:cs="仿宋"/>
          <w:position w:val="10"/>
          <w:sz w:val="32"/>
          <w:szCs w:val="32"/>
        </w:rPr>
      </w:pPr>
      <w:r>
        <w:rPr>
          <w:rFonts w:ascii="仿宋" w:hAnsi="仿宋" w:eastAsia="仿宋" w:cs="仿宋"/>
          <w:position w:val="10"/>
          <w:sz w:val="32"/>
          <w:szCs w:val="32"/>
        </w:rPr>
        <w:t>皮山县政府投资交易中心无下属预算单位，下设3个科室，分别是：办公室、采购办、财务室。</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仿宋" w:hAnsi="仿宋" w:eastAsia="仿宋" w:cs="仿宋"/>
          <w:position w:val="10"/>
          <w:sz w:val="32"/>
          <w:szCs w:val="32"/>
        </w:rPr>
        <w:t>皮山县政府投资交易中心单位编制数6，实有人数7人，其中：在职7人，增加1人；退休0人，增加0人；离休0人，增加0人。</w:t>
      </w:r>
    </w:p>
    <w:p>
      <w:pPr>
        <w:sectPr>
          <w:cols w:space="720" w:num="1"/>
        </w:sectPr>
      </w:pPr>
      <w:r>
        <w:br w:type="textWrapping"/>
      </w:r>
    </w:p>
    <w:p>
      <w:pPr>
        <w:ind w:left="200" w:right="200" w:firstLine="500"/>
        <w:jc w:val="center"/>
        <w:rPr>
          <w:sz w:val="32"/>
          <w:szCs w:val="32"/>
        </w:rPr>
      </w:pPr>
      <w:r>
        <w:rPr>
          <w:rFonts w:ascii="黑体" w:hAnsi="黑体" w:eastAsia="黑体" w:cs="黑体"/>
          <w:position w:val="30"/>
          <w:sz w:val="32"/>
          <w:szCs w:val="32"/>
        </w:rPr>
        <w:t>第二部分 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43"/>
        <w:gridCol w:w="1073"/>
        <w:gridCol w:w="2968"/>
        <w:gridCol w:w="7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center"/>
            </w:pPr>
            <w:r>
              <w:rPr>
                <w:rFonts w:hint="eastAsia" w:ascii="仿宋_GB2312" w:hAnsi="仿宋_GB2312" w:eastAsia="仿宋_GB2312" w:cs="仿宋_GB2312"/>
                <w:b/>
                <w:bCs/>
                <w:position w:val="15"/>
                <w:sz w:val="32"/>
                <w:szCs w:val="32"/>
                <w:lang w:val="en-US" w:eastAsia="zh-CN"/>
              </w:rPr>
              <w:t>部门</w:t>
            </w:r>
            <w:r>
              <w:rPr>
                <w:rFonts w:hint="eastAsia" w:ascii="仿宋_GB2312" w:hAnsi="仿宋_GB2312" w:eastAsia="仿宋_GB2312" w:cs="仿宋_GB2312"/>
                <w:b/>
                <w:bCs/>
                <w:position w:val="15"/>
                <w:sz w:val="32"/>
                <w:szCs w:val="32"/>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16" w:type="dxa"/>
            <w:gridSpan w:val="2"/>
            <w:tcBorders>
              <w:top w:val="nil"/>
              <w:left w:val="nil"/>
              <w:right w:val="nil"/>
            </w:tcBorders>
            <w:vAlign w:val="center"/>
          </w:tcPr>
          <w:p>
            <w:pPr>
              <w:ind w:left="150"/>
              <w:jc w:val="left"/>
              <w:rPr>
                <w:sz w:val="24"/>
                <w:szCs w:val="24"/>
              </w:rPr>
            </w:pPr>
            <w:r>
              <w:rPr>
                <w:rFonts w:ascii="仿宋" w:hAnsi="仿宋" w:eastAsia="仿宋" w:cs="仿宋"/>
                <w:position w:val="8"/>
                <w:sz w:val="24"/>
                <w:szCs w:val="24"/>
              </w:rPr>
              <w:t>编制单位：皮山县政府投资交易中心</w:t>
            </w:r>
          </w:p>
        </w:tc>
        <w:tc>
          <w:tcPr>
            <w:tcW w:w="3684" w:type="dxa"/>
            <w:gridSpan w:val="2"/>
            <w:tcBorders>
              <w:top w:val="nil"/>
              <w:left w:val="nil"/>
              <w:right w:val="nil"/>
            </w:tcBorders>
            <w:vAlign w:val="center"/>
          </w:tcPr>
          <w:p>
            <w:pPr>
              <w:ind w:left="150"/>
              <w:jc w:val="right"/>
              <w:rPr>
                <w:sz w:val="24"/>
                <w:szCs w:val="24"/>
              </w:rPr>
            </w:pPr>
            <w:r>
              <w:rPr>
                <w:rFonts w:ascii="仿宋" w:hAnsi="仿宋" w:eastAsia="仿宋" w:cs="仿宋"/>
                <w:position w:val="8"/>
                <w:sz w:val="24"/>
                <w:szCs w:val="24"/>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1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6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115.65</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115.65</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115.65</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6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0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121.9</w:t>
            </w:r>
          </w:p>
        </w:tc>
        <w:tc>
          <w:tcPr>
            <w:tcW w:w="29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121.9</w:t>
            </w:r>
          </w:p>
        </w:tc>
      </w:tr>
    </w:tbl>
    <w:p>
      <w:pPr>
        <w:sectPr>
          <w:cols w:space="720" w:num="1"/>
        </w:sectPr>
      </w:pPr>
      <w:r>
        <w:br w:type="textWrapping"/>
      </w:r>
    </w:p>
    <w:tbl>
      <w:tblPr>
        <w:tblStyle w:val="4"/>
        <w:tblW w:w="843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99"/>
        <w:gridCol w:w="280"/>
        <w:gridCol w:w="236"/>
        <w:gridCol w:w="1088"/>
        <w:gridCol w:w="632"/>
        <w:gridCol w:w="667"/>
        <w:gridCol w:w="648"/>
        <w:gridCol w:w="715"/>
        <w:gridCol w:w="415"/>
        <w:gridCol w:w="633"/>
        <w:gridCol w:w="446"/>
        <w:gridCol w:w="726"/>
        <w:gridCol w:w="13"/>
        <w:gridCol w:w="511"/>
        <w:gridCol w:w="476"/>
        <w:gridCol w:w="54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3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30" w:type="dxa"/>
            <w:gridSpan w:val="16"/>
            <w:tcBorders>
              <w:top w:val="nil"/>
              <w:left w:val="nil"/>
              <w:bottom w:val="nil"/>
              <w:right w:val="nil"/>
            </w:tcBorders>
            <w:vAlign w:val="center"/>
          </w:tcPr>
          <w:p>
            <w:pPr>
              <w:ind w:left="150"/>
              <w:jc w:val="center"/>
            </w:pPr>
            <w:r>
              <w:rPr>
                <w:rFonts w:hint="eastAsia" w:ascii="仿宋_GB2312" w:hAnsi="仿宋_GB2312" w:eastAsia="仿宋_GB2312" w:cs="仿宋_GB2312"/>
                <w:b/>
                <w:bCs/>
                <w:position w:val="15"/>
                <w:sz w:val="32"/>
                <w:szCs w:val="32"/>
                <w:lang w:val="en-US" w:eastAsia="zh-CN"/>
              </w:rPr>
              <w:t>部门</w:t>
            </w:r>
            <w:r>
              <w:rPr>
                <w:rFonts w:hint="eastAsia" w:ascii="仿宋_GB2312" w:hAnsi="仿宋_GB2312" w:eastAsia="仿宋_GB2312" w:cs="仿宋_GB2312"/>
                <w:b/>
                <w:bCs/>
                <w:position w:val="15"/>
                <w:sz w:val="32"/>
                <w:szCs w:val="32"/>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65" w:type="dxa"/>
            <w:gridSpan w:val="8"/>
            <w:tcBorders>
              <w:top w:val="nil"/>
              <w:left w:val="nil"/>
              <w:right w:val="nil"/>
            </w:tcBorders>
            <w:vAlign w:val="center"/>
          </w:tcPr>
          <w:p>
            <w:pPr>
              <w:ind w:left="150"/>
              <w:jc w:val="left"/>
              <w:rPr>
                <w:sz w:val="24"/>
                <w:szCs w:val="24"/>
              </w:rPr>
            </w:pPr>
            <w:r>
              <w:rPr>
                <w:rFonts w:ascii="仿宋" w:hAnsi="仿宋" w:eastAsia="仿宋" w:cs="仿宋"/>
                <w:position w:val="8"/>
                <w:sz w:val="24"/>
                <w:szCs w:val="24"/>
              </w:rPr>
              <w:t>编制单位：皮山县政府投资交易中心</w:t>
            </w:r>
          </w:p>
        </w:tc>
        <w:tc>
          <w:tcPr>
            <w:tcW w:w="3765" w:type="dxa"/>
            <w:gridSpan w:val="8"/>
            <w:tcBorders>
              <w:top w:val="nil"/>
              <w:left w:val="nil"/>
              <w:right w:val="nil"/>
            </w:tcBorders>
            <w:vAlign w:val="center"/>
          </w:tcPr>
          <w:p>
            <w:pPr>
              <w:ind w:left="150"/>
              <w:jc w:val="right"/>
              <w:rPr>
                <w:sz w:val="24"/>
                <w:szCs w:val="24"/>
              </w:rPr>
            </w:pPr>
            <w:r>
              <w:rPr>
                <w:rFonts w:ascii="仿宋" w:hAnsi="仿宋" w:eastAsia="仿宋" w:cs="仿宋"/>
                <w:position w:val="8"/>
                <w:sz w:val="24"/>
                <w:szCs w:val="24"/>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7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3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9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3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1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5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2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088" w:type="dxa"/>
          </w:tcPr>
          <w:p/>
        </w:tc>
        <w:tc>
          <w:tcPr>
            <w:tcW w:w="632" w:type="dxa"/>
          </w:tcP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13" w:type="dxa"/>
          </w:tcPr>
          <w:p/>
        </w:tc>
        <w:tc>
          <w:tcPr>
            <w:tcW w:w="511" w:type="dxa"/>
          </w:tcPr>
          <w:p/>
        </w:tc>
        <w:tc>
          <w:tcPr>
            <w:tcW w:w="476" w:type="dxa"/>
          </w:tcPr>
          <w:p/>
        </w:tc>
        <w:tc>
          <w:tcPr>
            <w:tcW w:w="54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bookmarkStart w:id="1" w:name="OLE_LINK2" w:colFirst="0" w:colLast="14"/>
            <w:r>
              <w:rPr>
                <w:rFonts w:ascii="仿宋" w:hAnsi="仿宋" w:eastAsia="仿宋" w:cs="仿宋"/>
                <w:position w:val="8"/>
                <w:sz w:val="20"/>
              </w:rPr>
              <w:t>201</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98.93</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16.72</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11.15</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11.15</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11.15</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5.57</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5.57</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5.57</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46" w:hRule="atLeast"/>
        </w:trPr>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41" w:hRule="atLeast"/>
        </w:trPr>
        <w:tc>
          <w:tcPr>
            <w:tcW w:w="3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121.90</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115.65</w:t>
            </w: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115.65</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6.25</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p>
        </w:tc>
      </w:tr>
      <w:bookmarkEnd w:id="1"/>
    </w:tbl>
    <w:p>
      <w:r>
        <w:br w:type="textWrapping"/>
      </w:r>
    </w:p>
    <w:p/>
    <w:p/>
    <w:p/>
    <w:p/>
    <w:p/>
    <w:p/>
    <w:p>
      <w:pPr>
        <w:keepNext w:val="0"/>
        <w:keepLines w:val="0"/>
        <w:widowControl/>
        <w:suppressLineNumbers w:val="0"/>
        <w:jc w:val="left"/>
        <w:textAlignment w:val="bottom"/>
      </w:pPr>
      <w:r>
        <w:rPr>
          <w:rFonts w:hint="eastAsia" w:ascii="宋体" w:hAnsi="宋体" w:eastAsia="宋体" w:cs="宋体"/>
          <w:i w:val="0"/>
          <w:color w:val="000000"/>
          <w:kern w:val="0"/>
          <w:sz w:val="20"/>
          <w:szCs w:val="20"/>
          <w:highlight w:val="none"/>
          <w:u w:val="none"/>
          <w:lang w:val="en-US" w:eastAsia="zh-CN" w:bidi="ar"/>
        </w:rPr>
        <w:t>表3</w:t>
      </w:r>
    </w:p>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部门支出总体情况表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w:t>
      </w:r>
      <w:bookmarkStart w:id="2" w:name="OLE_LINK3"/>
      <w:r>
        <w:rPr>
          <w:rFonts w:hint="eastAsia" w:ascii="仿宋_GB2312" w:hAnsi="宋体" w:eastAsia="仿宋_GB2312"/>
          <w:kern w:val="0"/>
          <w:sz w:val="24"/>
          <w:highlight w:val="none"/>
          <w:lang w:val="en-US" w:eastAsia="zh-CN"/>
        </w:rPr>
        <w:t>单位</w:t>
      </w:r>
      <w:bookmarkEnd w:id="2"/>
      <w:r>
        <w:rPr>
          <w:rFonts w:hint="eastAsia" w:ascii="仿宋_GB2312" w:hAnsi="宋体" w:eastAsia="仿宋_GB2312"/>
          <w:kern w:val="0"/>
          <w:sz w:val="24"/>
          <w:highlight w:val="none"/>
        </w:rPr>
        <w:t>：</w:t>
      </w:r>
      <w:r>
        <w:rPr>
          <w:rFonts w:hint="eastAsia" w:ascii="仿宋_GB2312" w:hAnsi="宋体" w:eastAsia="仿宋_GB2312"/>
          <w:kern w:val="0"/>
          <w:sz w:val="24"/>
          <w:highlight w:val="none"/>
          <w:lang w:val="en-US" w:eastAsia="zh-CN"/>
        </w:rPr>
        <w:t>皮山县政府投资交易中心</w:t>
      </w:r>
      <w:r>
        <w:rPr>
          <w:rFonts w:hint="eastAsia" w:ascii="仿宋_GB2312" w:hAnsi="宋体" w:eastAsia="仿宋_GB2312"/>
          <w:kern w:val="0"/>
          <w:sz w:val="24"/>
          <w:highlight w:val="none"/>
        </w:rPr>
        <w:t xml:space="preserve">                            单位：万元</w:t>
      </w:r>
    </w:p>
    <w:tbl>
      <w:tblPr>
        <w:tblStyle w:val="4"/>
        <w:tblW w:w="9458" w:type="dxa"/>
        <w:tblInd w:w="-240" w:type="dxa"/>
        <w:tblLayout w:type="fixed"/>
        <w:tblCellMar>
          <w:top w:w="0" w:type="dxa"/>
          <w:left w:w="108" w:type="dxa"/>
          <w:bottom w:w="0" w:type="dxa"/>
          <w:right w:w="108" w:type="dxa"/>
        </w:tblCellMar>
      </w:tblPr>
      <w:tblGrid>
        <w:gridCol w:w="594"/>
        <w:gridCol w:w="459"/>
        <w:gridCol w:w="405"/>
        <w:gridCol w:w="2640"/>
        <w:gridCol w:w="38"/>
        <w:gridCol w:w="1546"/>
        <w:gridCol w:w="38"/>
        <w:gridCol w:w="1807"/>
        <w:gridCol w:w="38"/>
        <w:gridCol w:w="1855"/>
        <w:gridCol w:w="38"/>
      </w:tblGrid>
      <w:tr>
        <w:tblPrEx>
          <w:tblLayout w:type="fixed"/>
          <w:tblCellMar>
            <w:top w:w="0" w:type="dxa"/>
            <w:left w:w="108" w:type="dxa"/>
            <w:bottom w:w="0" w:type="dxa"/>
            <w:right w:w="108" w:type="dxa"/>
          </w:tblCellMar>
        </w:tblPrEx>
        <w:trPr>
          <w:gridAfter w:val="1"/>
          <w:wAfter w:w="38" w:type="dxa"/>
          <w:trHeight w:val="345" w:hRule="atLeast"/>
        </w:trPr>
        <w:tc>
          <w:tcPr>
            <w:tcW w:w="409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项    目</w:t>
            </w:r>
          </w:p>
        </w:tc>
        <w:tc>
          <w:tcPr>
            <w:tcW w:w="5322"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支出预算</w:t>
            </w:r>
          </w:p>
        </w:tc>
      </w:tr>
      <w:tr>
        <w:tblPrEx>
          <w:tblLayout w:type="fixed"/>
          <w:tblCellMar>
            <w:top w:w="0" w:type="dxa"/>
            <w:left w:w="108" w:type="dxa"/>
            <w:bottom w:w="0" w:type="dxa"/>
            <w:right w:w="108" w:type="dxa"/>
          </w:tblCellMar>
        </w:tblPrEx>
        <w:trPr>
          <w:gridAfter w:val="1"/>
          <w:wAfter w:w="38" w:type="dxa"/>
          <w:trHeight w:val="480" w:hRule="atLeast"/>
        </w:trPr>
        <w:tc>
          <w:tcPr>
            <w:tcW w:w="145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640" w:type="dxa"/>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584" w:type="dxa"/>
            <w:gridSpan w:val="2"/>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  计</w:t>
            </w:r>
          </w:p>
        </w:tc>
        <w:tc>
          <w:tcPr>
            <w:tcW w:w="1845" w:type="dxa"/>
            <w:gridSpan w:val="2"/>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893" w:type="dxa"/>
            <w:gridSpan w:val="2"/>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9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4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4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678" w:type="dxa"/>
            <w:gridSpan w:val="2"/>
            <w:tcBorders>
              <w:top w:val="nil"/>
              <w:left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584" w:type="dxa"/>
            <w:gridSpan w:val="2"/>
            <w:tcBorders>
              <w:top w:val="nil"/>
              <w:left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45" w:type="dxa"/>
            <w:gridSpan w:val="2"/>
            <w:tcBorders>
              <w:top w:val="nil"/>
              <w:left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93" w:type="dxa"/>
            <w:gridSpan w:val="2"/>
            <w:tcBorders>
              <w:top w:val="nil"/>
              <w:left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000000"/>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201</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一般公共服务支出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201</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03</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政府办公厅（室）及相关机构事务</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201</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03</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50</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事业运行</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社会保障和就业支出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行政事业单位养老支出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机关事业单位基本养老保险缴费支出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11.15</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11.15</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06</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机关事业单位职业年金缴费支出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5.57</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5.57</w:t>
            </w: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229</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其他支出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6.25</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6.25</w:t>
            </w: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229</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99</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其他支出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6.25</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6.25</w:t>
            </w: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229</w:t>
            </w:r>
          </w:p>
        </w:tc>
        <w:tc>
          <w:tcPr>
            <w:tcW w:w="459"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99</w:t>
            </w:r>
          </w:p>
        </w:tc>
        <w:tc>
          <w:tcPr>
            <w:tcW w:w="40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99</w:t>
            </w:r>
          </w:p>
        </w:tc>
        <w:tc>
          <w:tcPr>
            <w:tcW w:w="2678" w:type="dxa"/>
            <w:gridSpan w:val="2"/>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其他支出</w:t>
            </w:r>
          </w:p>
        </w:tc>
        <w:tc>
          <w:tcPr>
            <w:tcW w:w="15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6.25</w:t>
            </w:r>
          </w:p>
        </w:tc>
        <w:tc>
          <w:tcPr>
            <w:tcW w:w="1845"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c>
          <w:tcPr>
            <w:tcW w:w="1893"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6.25</w:t>
            </w:r>
          </w:p>
        </w:tc>
      </w:tr>
      <w:tr>
        <w:tblPrEx>
          <w:tblLayout w:type="fixed"/>
          <w:tblCellMar>
            <w:top w:w="0" w:type="dxa"/>
            <w:left w:w="108" w:type="dxa"/>
            <w:bottom w:w="0" w:type="dxa"/>
            <w:right w:w="108" w:type="dxa"/>
          </w:tblCellMar>
        </w:tblPrEx>
        <w:trPr>
          <w:trHeight w:val="405" w:hRule="atLeast"/>
        </w:trPr>
        <w:tc>
          <w:tcPr>
            <w:tcW w:w="59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4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40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2678"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szCs w:val="22"/>
                <w:highlight w:val="none"/>
              </w:rPr>
            </w:pPr>
            <w:r>
              <w:rPr>
                <w:rFonts w:hint="eastAsia" w:ascii="仿宋_GB2312" w:hAnsi="仿宋_GB2312" w:eastAsia="仿宋_GB2312" w:cs="仿宋_GB2312"/>
                <w:b/>
                <w:bCs/>
                <w:color w:val="000000"/>
                <w:kern w:val="0"/>
                <w:sz w:val="20"/>
                <w:szCs w:val="20"/>
                <w:highlight w:val="none"/>
              </w:rPr>
              <w:t>合  计</w:t>
            </w:r>
          </w:p>
        </w:tc>
        <w:tc>
          <w:tcPr>
            <w:tcW w:w="1584" w:type="dxa"/>
            <w:gridSpan w:val="2"/>
            <w:tcBorders>
              <w:top w:val="nil"/>
              <w:left w:val="nil"/>
              <w:bottom w:val="single" w:color="auto" w:sz="4" w:space="0"/>
              <w:right w:val="single" w:color="auto" w:sz="4" w:space="0"/>
            </w:tcBorders>
            <w:vAlign w:val="center"/>
          </w:tcPr>
          <w:p>
            <w:pPr>
              <w:ind w:left="30" w:leftChars="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121.9</w:t>
            </w:r>
          </w:p>
        </w:tc>
        <w:tc>
          <w:tcPr>
            <w:tcW w:w="1845" w:type="dxa"/>
            <w:gridSpan w:val="2"/>
            <w:tcBorders>
              <w:top w:val="nil"/>
              <w:left w:val="nil"/>
              <w:bottom w:val="single" w:color="auto" w:sz="4" w:space="0"/>
              <w:right w:val="single" w:color="auto" w:sz="4" w:space="0"/>
            </w:tcBorders>
            <w:vAlign w:val="center"/>
          </w:tcPr>
          <w:p>
            <w:pPr>
              <w:ind w:left="30" w:leftChars="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115.65</w:t>
            </w:r>
          </w:p>
        </w:tc>
        <w:tc>
          <w:tcPr>
            <w:tcW w:w="1893" w:type="dxa"/>
            <w:gridSpan w:val="2"/>
            <w:tcBorders>
              <w:top w:val="nil"/>
              <w:left w:val="nil"/>
              <w:bottom w:val="single" w:color="auto" w:sz="4" w:space="0"/>
              <w:right w:val="single" w:color="auto" w:sz="4" w:space="0"/>
            </w:tcBorders>
            <w:vAlign w:val="center"/>
          </w:tcPr>
          <w:p>
            <w:pPr>
              <w:ind w:left="30" w:leftChars="0"/>
              <w:jc w:val="center"/>
              <w:rPr>
                <w:rFonts w:hint="default" w:ascii="黑体" w:hAnsi="黑体" w:eastAsia="黑体" w:cs="黑体"/>
                <w:position w:val="8"/>
                <w:sz w:val="16"/>
                <w:lang w:val="en-US" w:eastAsia="zh-CN"/>
              </w:rPr>
            </w:pPr>
            <w:r>
              <w:rPr>
                <w:rFonts w:hint="eastAsia" w:ascii="黑体" w:hAnsi="黑体" w:eastAsia="黑体" w:cs="黑体"/>
                <w:position w:val="8"/>
                <w:sz w:val="16"/>
                <w:lang w:val="en-US" w:eastAsia="zh-CN"/>
              </w:rPr>
              <w:t>6.25</w:t>
            </w:r>
          </w:p>
        </w:tc>
      </w:tr>
    </w:tbl>
    <w:p>
      <w:pPr>
        <w:sectPr>
          <w:cols w:space="720" w:num="1"/>
        </w:sectPr>
      </w:pPr>
    </w:p>
    <w:p>
      <w:pPr>
        <w:rPr>
          <w:sz w:val="16"/>
          <w:szCs w:val="16"/>
        </w:rPr>
      </w:pPr>
    </w:p>
    <w:p>
      <w:pPr>
        <w:keepNext w:val="0"/>
        <w:keepLines w:val="0"/>
        <w:widowControl/>
        <w:suppressLineNumbers w:val="0"/>
        <w:jc w:val="left"/>
        <w:textAlignment w:val="bottom"/>
        <w:rPr>
          <w:rFonts w:hint="eastAsia" w:ascii="宋体" w:hAnsi="宋体" w:eastAsia="宋体" w:cs="宋体"/>
          <w:i w:val="0"/>
          <w:color w:val="000000"/>
          <w:kern w:val="0"/>
          <w:sz w:val="20"/>
          <w:szCs w:val="20"/>
          <w:highlight w:val="none"/>
          <w:u w:val="none"/>
          <w:lang w:val="en-US" w:eastAsia="zh-CN" w:bidi="ar"/>
        </w:rPr>
      </w:pPr>
      <w:r>
        <w:rPr>
          <w:rFonts w:hint="eastAsia" w:ascii="宋体" w:hAnsi="宋体" w:eastAsia="宋体" w:cs="宋体"/>
          <w:i w:val="0"/>
          <w:color w:val="000000"/>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kern w:val="0"/>
          <w:sz w:val="24"/>
          <w:szCs w:val="24"/>
          <w:highlight w:val="none"/>
        </w:rPr>
      </w:pPr>
      <w:r>
        <w:rPr>
          <w:rFonts w:hint="eastAsia" w:ascii="仿宋_GB2312" w:hAnsi="宋体" w:eastAsia="仿宋_GB2312"/>
          <w:kern w:val="0"/>
          <w:sz w:val="24"/>
          <w:szCs w:val="24"/>
          <w:highlight w:val="none"/>
        </w:rPr>
        <w:t>编制</w:t>
      </w:r>
      <w:r>
        <w:rPr>
          <w:rFonts w:hint="eastAsia" w:ascii="仿宋_GB2312" w:hAnsi="宋体" w:eastAsia="仿宋_GB2312"/>
          <w:kern w:val="0"/>
          <w:sz w:val="24"/>
          <w:highlight w:val="none"/>
          <w:lang w:val="en-US" w:eastAsia="zh-CN"/>
        </w:rPr>
        <w:t>单位</w:t>
      </w:r>
      <w:r>
        <w:rPr>
          <w:rFonts w:hint="eastAsia" w:ascii="仿宋_GB2312" w:hAnsi="宋体" w:eastAsia="仿宋_GB2312"/>
          <w:kern w:val="0"/>
          <w:sz w:val="24"/>
          <w:szCs w:val="24"/>
          <w:highlight w:val="none"/>
        </w:rPr>
        <w:t xml:space="preserve">： </w:t>
      </w:r>
      <w:r>
        <w:rPr>
          <w:rFonts w:hint="eastAsia" w:ascii="仿宋_GB2312" w:hAnsi="宋体" w:eastAsia="仿宋_GB2312"/>
          <w:kern w:val="0"/>
          <w:sz w:val="24"/>
          <w:szCs w:val="24"/>
          <w:highlight w:val="none"/>
          <w:lang w:val="en-US" w:eastAsia="zh-CN"/>
        </w:rPr>
        <w:t>皮山县政府投资交易中心</w:t>
      </w:r>
      <w:r>
        <w:rPr>
          <w:rFonts w:hint="eastAsia" w:ascii="仿宋_GB2312" w:hAnsi="宋体" w:eastAsia="仿宋_GB2312"/>
          <w:kern w:val="0"/>
          <w:sz w:val="24"/>
          <w:szCs w:val="24"/>
          <w:highlight w:val="none"/>
        </w:rPr>
        <w:t xml:space="preserve">          </w:t>
      </w:r>
      <w:r>
        <w:rPr>
          <w:rFonts w:hint="eastAsia" w:ascii="仿宋_GB2312" w:hAnsi="宋体" w:eastAsia="仿宋_GB2312"/>
          <w:kern w:val="0"/>
          <w:sz w:val="24"/>
          <w:szCs w:val="24"/>
          <w:highlight w:val="none"/>
          <w:lang w:val="en-US" w:eastAsia="zh-CN"/>
        </w:rPr>
        <w:t xml:space="preserve">    </w:t>
      </w:r>
      <w:r>
        <w:rPr>
          <w:rFonts w:hint="eastAsia" w:ascii="仿宋_GB2312" w:hAnsi="宋体" w:eastAsia="仿宋_GB2312"/>
          <w:kern w:val="0"/>
          <w:sz w:val="24"/>
          <w:szCs w:val="24"/>
          <w:highlight w:val="none"/>
        </w:rPr>
        <w:t xml:space="preserve">          单位：万元</w:t>
      </w:r>
    </w:p>
    <w:tbl>
      <w:tblPr>
        <w:tblStyle w:val="4"/>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lang w:val="en-US" w:eastAsia="zh-Hans"/>
              </w:rPr>
              <w:t>一、</w:t>
            </w:r>
            <w:r>
              <w:rPr>
                <w:rFonts w:hint="eastAsia" w:ascii="仿宋_GB2312" w:hAnsi="宋体" w:eastAsia="仿宋_GB2312" w:cs="宋体"/>
                <w:kern w:val="0"/>
                <w:sz w:val="18"/>
                <w:szCs w:val="18"/>
                <w:highlight w:val="none"/>
              </w:rPr>
              <w:t>财政拨款（补助）</w:t>
            </w:r>
          </w:p>
        </w:tc>
        <w:tc>
          <w:tcPr>
            <w:tcW w:w="914" w:type="dxa"/>
            <w:tcBorders>
              <w:top w:val="nil"/>
              <w:left w:val="nil"/>
              <w:bottom w:val="single" w:color="auto" w:sz="4" w:space="0"/>
              <w:right w:val="single" w:color="auto" w:sz="4" w:space="0"/>
            </w:tcBorders>
            <w:shd w:val="clear" w:color="auto" w:fill="auto"/>
            <w:vAlign w:val="center"/>
          </w:tcPr>
          <w:p>
            <w:pPr>
              <w:ind w:left="30" w:leftChars="0"/>
              <w:jc w:val="right"/>
              <w:rPr>
                <w:rFonts w:asciiTheme="minorHAnsi" w:hAnsiTheme="minorHAnsi" w:eastAsiaTheme="minorEastAsia" w:cstheme="minorBidi"/>
                <w:sz w:val="16"/>
                <w:szCs w:val="16"/>
              </w:rPr>
            </w:pPr>
            <w:r>
              <w:rPr>
                <w:rFonts w:ascii="黑体" w:hAnsi="黑体" w:eastAsia="黑体" w:cs="黑体"/>
                <w:position w:val="8"/>
                <w:sz w:val="16"/>
                <w:szCs w:val="16"/>
              </w:rPr>
              <w:t>115.65</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 一般公共服务支出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r>
              <w:rPr>
                <w:rFonts w:ascii="黑体" w:hAnsi="黑体" w:eastAsia="黑体" w:cs="黑体"/>
                <w:position w:val="8"/>
                <w:sz w:val="16"/>
                <w:szCs w:val="16"/>
              </w:rPr>
              <w:t>98.93</w:t>
            </w: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r>
              <w:rPr>
                <w:rFonts w:ascii="黑体" w:hAnsi="黑体" w:eastAsia="黑体" w:cs="黑体"/>
                <w:position w:val="8"/>
                <w:sz w:val="16"/>
                <w:szCs w:val="16"/>
              </w:rPr>
              <w:t>98.93</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xml:space="preserve"> 一般公共预算</w:t>
            </w:r>
          </w:p>
        </w:tc>
        <w:tc>
          <w:tcPr>
            <w:tcW w:w="914" w:type="dxa"/>
            <w:tcBorders>
              <w:top w:val="nil"/>
              <w:left w:val="nil"/>
              <w:bottom w:val="single" w:color="auto" w:sz="4" w:space="0"/>
              <w:right w:val="single" w:color="auto" w:sz="4" w:space="0"/>
            </w:tcBorders>
            <w:shd w:val="clear" w:color="auto" w:fill="auto"/>
            <w:vAlign w:val="center"/>
          </w:tcPr>
          <w:p>
            <w:pPr>
              <w:ind w:left="30" w:leftChars="0"/>
              <w:jc w:val="right"/>
              <w:rPr>
                <w:rFonts w:asciiTheme="minorHAnsi" w:hAnsiTheme="minorHAnsi" w:eastAsiaTheme="minorEastAsia" w:cstheme="minorBidi"/>
                <w:sz w:val="16"/>
                <w:szCs w:val="16"/>
              </w:rPr>
            </w:pPr>
            <w:r>
              <w:rPr>
                <w:rFonts w:ascii="黑体" w:hAnsi="黑体" w:eastAsia="黑体" w:cs="黑体"/>
                <w:position w:val="8"/>
                <w:sz w:val="16"/>
                <w:szCs w:val="16"/>
              </w:rPr>
              <w:t>115.65</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 外交支出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xml:space="preserve"> </w:t>
            </w:r>
            <w:r>
              <w:rPr>
                <w:rFonts w:hint="default" w:ascii="仿宋_GB2312" w:hAnsi="宋体" w:eastAsia="仿宋_GB2312" w:cs="宋体"/>
                <w:color w:val="000000"/>
                <w:kern w:val="0"/>
                <w:sz w:val="18"/>
                <w:szCs w:val="18"/>
                <w:highlight w:val="none"/>
              </w:rPr>
              <w:t xml:space="preserve">  </w:t>
            </w:r>
            <w:r>
              <w:rPr>
                <w:rFonts w:hint="eastAsia" w:ascii="仿宋_GB2312" w:hAnsi="宋体" w:eastAsia="仿宋_GB2312" w:cs="宋体"/>
                <w:color w:val="000000"/>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 国防支出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 公共安全支出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 教育支出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 科学技术支出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 文化旅游体育与传媒支出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 社会保障和就业支出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r>
              <w:rPr>
                <w:rFonts w:ascii="黑体" w:hAnsi="黑体" w:eastAsia="黑体" w:cs="黑体"/>
                <w:position w:val="8"/>
                <w:sz w:val="16"/>
                <w:szCs w:val="16"/>
              </w:rPr>
              <w:t>16.72</w:t>
            </w: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r>
              <w:rPr>
                <w:rFonts w:ascii="黑体" w:hAnsi="黑体" w:eastAsia="黑体" w:cs="黑体"/>
                <w:position w:val="8"/>
                <w:sz w:val="16"/>
                <w:szCs w:val="16"/>
              </w:rPr>
              <w:t>16.72</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 社会保险基金支出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 节能环保支出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 城乡社区支出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 农林水支出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 交通运输支出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 资源勘探</w:t>
            </w:r>
            <w:r>
              <w:rPr>
                <w:rFonts w:hint="eastAsia" w:ascii="仿宋_GB2312" w:hAnsi="宋体" w:eastAsia="仿宋_GB2312" w:cs="宋体"/>
                <w:kern w:val="0"/>
                <w:sz w:val="18"/>
                <w:szCs w:val="18"/>
                <w:highlight w:val="none"/>
                <w:lang w:val="en-US" w:eastAsia="zh-Hans"/>
              </w:rPr>
              <w:t>工业</w:t>
            </w:r>
            <w:r>
              <w:rPr>
                <w:rFonts w:hint="eastAsia" w:ascii="仿宋_GB2312" w:hAnsi="宋体" w:eastAsia="仿宋_GB2312" w:cs="宋体"/>
                <w:kern w:val="0"/>
                <w:sz w:val="18"/>
                <w:szCs w:val="18"/>
                <w:highlight w:val="none"/>
              </w:rPr>
              <w:t>信息等支出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 商业服务业等支出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 金融支出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 援助其他地区支出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 自然资源海洋气象等支出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 住房保障支出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 粮油物资储备支出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 国有资本经营预算支出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 预备费</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 其他支出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 债务还本支出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 债务付息支出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 债务发行费用支出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234 抗疫特别国债还本支出</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hint="eastAsia" w:asciiTheme="minorHAnsi" w:hAnsiTheme="minorHAnsi" w:eastAsiaTheme="minorEastAsia" w:cstheme="minorBidi"/>
                <w:sz w:val="16"/>
                <w:szCs w:val="16"/>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b/>
                <w:bCs/>
                <w:color w:val="000000"/>
                <w:kern w:val="0"/>
                <w:sz w:val="16"/>
                <w:szCs w:val="16"/>
                <w:highlight w:val="none"/>
                <w:lang w:val="en-US" w:eastAsia="zh-CN"/>
              </w:rPr>
            </w:pPr>
            <w:r>
              <w:rPr>
                <w:rFonts w:hint="eastAsia" w:ascii="黑体" w:hAnsi="黑体" w:eastAsia="黑体" w:cs="黑体"/>
                <w:b w:val="0"/>
                <w:bCs w:val="0"/>
                <w:color w:val="000000"/>
                <w:kern w:val="0"/>
                <w:sz w:val="16"/>
                <w:szCs w:val="16"/>
                <w:highlight w:val="none"/>
                <w:lang w:val="en-US" w:eastAsia="zh-CN"/>
              </w:rPr>
              <w:t>115.65</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  出  总  计</w:t>
            </w:r>
          </w:p>
        </w:tc>
        <w:tc>
          <w:tcPr>
            <w:tcW w:w="900"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r>
              <w:rPr>
                <w:rFonts w:ascii="黑体" w:hAnsi="黑体" w:eastAsia="黑体" w:cs="黑体"/>
                <w:position w:val="8"/>
                <w:sz w:val="16"/>
                <w:szCs w:val="16"/>
              </w:rPr>
              <w:t>115.65</w:t>
            </w:r>
          </w:p>
        </w:tc>
        <w:tc>
          <w:tcPr>
            <w:tcW w:w="85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16"/>
                <w:szCs w:val="16"/>
              </w:rPr>
            </w:pPr>
            <w:r>
              <w:rPr>
                <w:rFonts w:ascii="黑体" w:hAnsi="黑体" w:eastAsia="黑体" w:cs="黑体"/>
                <w:position w:val="8"/>
                <w:sz w:val="16"/>
                <w:szCs w:val="16"/>
              </w:rPr>
              <w:t>115.65</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bl>
    <w:p>
      <w:pPr>
        <w:rPr>
          <w:sz w:val="16"/>
          <w:szCs w:val="16"/>
        </w:rPr>
        <w:sectPr>
          <w:cols w:space="720" w:num="1"/>
        </w:sectPr>
      </w:pPr>
    </w:p>
    <w:p>
      <w:pPr>
        <w:keepNext w:val="0"/>
        <w:keepLines w:val="0"/>
        <w:widowControl/>
        <w:suppressLineNumbers w:val="0"/>
        <w:jc w:val="left"/>
        <w:textAlignment w:val="bottom"/>
        <w:rPr>
          <w:rFonts w:hint="eastAsia" w:ascii="宋体" w:hAnsi="宋体" w:eastAsia="宋体" w:cs="宋体"/>
          <w:i w:val="0"/>
          <w:color w:val="000000"/>
          <w:kern w:val="0"/>
          <w:sz w:val="20"/>
          <w:szCs w:val="20"/>
          <w:highlight w:val="none"/>
          <w:u w:val="none"/>
          <w:lang w:val="en-US" w:eastAsia="zh-CN" w:bidi="ar"/>
        </w:rPr>
      </w:pPr>
      <w:r>
        <w:br w:type="textWrapping"/>
      </w:r>
      <w:r>
        <w:rPr>
          <w:rFonts w:hint="eastAsia" w:ascii="宋体" w:hAnsi="宋体" w:eastAsia="宋体" w:cs="宋体"/>
          <w:i w:val="0"/>
          <w:color w:val="000000"/>
          <w:kern w:val="0"/>
          <w:sz w:val="20"/>
          <w:szCs w:val="20"/>
          <w:highlight w:val="none"/>
          <w:u w:val="none"/>
          <w:lang w:val="en-US" w:eastAsia="zh-CN" w:bidi="ar"/>
        </w:rPr>
        <w:t>表5</w:t>
      </w:r>
    </w:p>
    <w:tbl>
      <w:tblPr>
        <w:tblStyle w:val="4"/>
        <w:tblW w:w="9214" w:type="dxa"/>
        <w:tblInd w:w="-34" w:type="dxa"/>
        <w:tblLayout w:type="fixed"/>
        <w:tblCellMar>
          <w:top w:w="0" w:type="dxa"/>
          <w:left w:w="108" w:type="dxa"/>
          <w:bottom w:w="0" w:type="dxa"/>
          <w:right w:w="108" w:type="dxa"/>
        </w:tblCellMar>
      </w:tblPr>
      <w:tblGrid>
        <w:gridCol w:w="607"/>
        <w:gridCol w:w="540"/>
        <w:gridCol w:w="465"/>
        <w:gridCol w:w="2375"/>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000000"/>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647" w:type="dxa"/>
            <w:gridSpan w:val="5"/>
            <w:tcBorders>
              <w:top w:val="nil"/>
              <w:left w:val="nil"/>
              <w:bottom w:val="nil"/>
              <w:right w:val="nil"/>
            </w:tcBorders>
            <w:vAlign w:val="center"/>
          </w:tcPr>
          <w:p>
            <w:pPr>
              <w:widowControl/>
              <w:jc w:val="left"/>
              <w:rPr>
                <w:rFonts w:hint="eastAsia" w:ascii="仿宋_GB2312" w:hAnsi="宋体" w:eastAsia="仿宋_GB2312" w:cs="宋体"/>
                <w:color w:val="000000"/>
                <w:kern w:val="0"/>
                <w:sz w:val="24"/>
                <w:highlight w:val="none"/>
                <w:lang w:val="en-US" w:eastAsia="zh-CN"/>
              </w:rPr>
            </w:pPr>
            <w:r>
              <w:rPr>
                <w:rFonts w:hint="eastAsia" w:ascii="仿宋_GB2312" w:hAnsi="宋体" w:eastAsia="仿宋_GB2312" w:cs="宋体"/>
                <w:color w:val="000000"/>
                <w:kern w:val="0"/>
                <w:sz w:val="24"/>
                <w:highlight w:val="none"/>
              </w:rPr>
              <w:t>编制</w:t>
            </w:r>
            <w:r>
              <w:rPr>
                <w:rFonts w:hint="eastAsia" w:ascii="仿宋_GB2312" w:hAnsi="宋体" w:eastAsia="仿宋_GB2312"/>
                <w:kern w:val="0"/>
                <w:sz w:val="24"/>
                <w:highlight w:val="none"/>
                <w:lang w:val="en-US" w:eastAsia="zh-CN"/>
              </w:rPr>
              <w:t>单位</w:t>
            </w:r>
            <w:r>
              <w:rPr>
                <w:rFonts w:hint="eastAsia" w:ascii="仿宋_GB2312" w:hAnsi="宋体" w:eastAsia="仿宋_GB2312" w:cs="宋体"/>
                <w:color w:val="000000"/>
                <w:kern w:val="0"/>
                <w:sz w:val="24"/>
                <w:highlight w:val="none"/>
              </w:rPr>
              <w:t>：</w:t>
            </w:r>
            <w:r>
              <w:rPr>
                <w:rFonts w:hint="eastAsia" w:ascii="仿宋_GB2312" w:hAnsi="宋体" w:eastAsia="仿宋_GB2312" w:cs="宋体"/>
                <w:color w:val="000000"/>
                <w:kern w:val="0"/>
                <w:sz w:val="24"/>
                <w:highlight w:val="none"/>
                <w:lang w:val="en-US" w:eastAsia="zh-CN"/>
              </w:rPr>
              <w:t>皮山县政府投资交易中心</w:t>
            </w: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项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612"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3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60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4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46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3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201</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一般公共服务支出</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highlight w:val="none"/>
              </w:rPr>
            </w:pPr>
            <w:r>
              <w:rPr>
                <w:rFonts w:hint="eastAsia" w:ascii="仿宋_GB2312" w:hAnsi="宋体" w:eastAsia="仿宋_GB2312" w:cs="宋体"/>
                <w:b/>
                <w:color w:val="000000"/>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201</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03</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政府办公厅（室）及相关机构事务</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201</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03</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50</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事业运行</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98.93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社会保障和就业支出</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行政事业单位养老支出</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16.72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机关事业单位基本养老保险缴费支出</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11.15</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11.15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208</w:t>
            </w:r>
          </w:p>
        </w:tc>
        <w:tc>
          <w:tcPr>
            <w:tcW w:w="540"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05</w:t>
            </w:r>
          </w:p>
        </w:tc>
        <w:tc>
          <w:tcPr>
            <w:tcW w:w="46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06</w:t>
            </w:r>
          </w:p>
        </w:tc>
        <w:tc>
          <w:tcPr>
            <w:tcW w:w="2375"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机关事业单位职业年金缴费支出</w:t>
            </w:r>
          </w:p>
        </w:tc>
        <w:tc>
          <w:tcPr>
            <w:tcW w:w="1684"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5.57</w:t>
            </w:r>
          </w:p>
        </w:tc>
        <w:tc>
          <w:tcPr>
            <w:tcW w:w="1842"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5.57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0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5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46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c>
          <w:tcPr>
            <w:tcW w:w="237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黑体" w:hAnsi="黑体" w:eastAsia="黑体" w:cs="黑体"/>
                <w:color w:val="000000"/>
                <w:kern w:val="0"/>
                <w:sz w:val="16"/>
                <w:szCs w:val="16"/>
                <w:highlight w:val="none"/>
                <w:lang w:val="en-US" w:eastAsia="zh-CN"/>
              </w:rPr>
            </w:pPr>
            <w:r>
              <w:rPr>
                <w:rFonts w:hint="eastAsia" w:ascii="黑体" w:hAnsi="黑体" w:eastAsia="黑体" w:cs="黑体"/>
                <w:color w:val="000000"/>
                <w:kern w:val="0"/>
                <w:sz w:val="16"/>
                <w:szCs w:val="16"/>
                <w:highlight w:val="none"/>
                <w:lang w:val="en-US" w:eastAsia="zh-CN"/>
              </w:rPr>
              <w:t>115.65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黑体" w:hAnsi="黑体" w:eastAsia="黑体" w:cs="黑体"/>
                <w:color w:val="000000"/>
                <w:kern w:val="0"/>
                <w:sz w:val="16"/>
                <w:szCs w:val="16"/>
                <w:highlight w:val="none"/>
                <w:lang w:val="en-US" w:eastAsia="zh-CN"/>
              </w:rPr>
            </w:pPr>
            <w:r>
              <w:rPr>
                <w:rFonts w:hint="eastAsia" w:ascii="黑体" w:hAnsi="黑体" w:eastAsia="黑体" w:cs="黑体"/>
                <w:color w:val="000000"/>
                <w:kern w:val="0"/>
                <w:sz w:val="16"/>
                <w:szCs w:val="16"/>
                <w:highlight w:val="none"/>
                <w:lang w:val="en-US" w:eastAsia="zh-CN"/>
              </w:rPr>
              <w:t>115.65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p>
        </w:tc>
      </w:tr>
    </w:tbl>
    <w:p>
      <w:pPr>
        <w:sectPr>
          <w:cols w:space="720" w:num="1"/>
        </w:sectPr>
      </w:pPr>
    </w:p>
    <w:p>
      <w:pPr>
        <w:keepNext w:val="0"/>
        <w:keepLines w:val="0"/>
        <w:widowControl/>
        <w:suppressLineNumbers w:val="0"/>
        <w:jc w:val="left"/>
        <w:textAlignment w:val="bottom"/>
        <w:rPr>
          <w:rFonts w:hint="eastAsia" w:ascii="宋体" w:hAnsi="宋体" w:eastAsia="宋体" w:cs="宋体"/>
          <w:i w:val="0"/>
          <w:color w:val="000000"/>
          <w:kern w:val="0"/>
          <w:sz w:val="20"/>
          <w:szCs w:val="20"/>
          <w:highlight w:val="none"/>
          <w:u w:val="none"/>
          <w:lang w:val="en-US" w:eastAsia="zh-CN" w:bidi="ar"/>
        </w:rPr>
      </w:pPr>
      <w:r>
        <w:br w:type="textWrapping"/>
      </w:r>
      <w:r>
        <w:rPr>
          <w:rFonts w:hint="eastAsia" w:ascii="宋体" w:hAnsi="宋体" w:eastAsia="宋体" w:cs="宋体"/>
          <w:i w:val="0"/>
          <w:color w:val="000000"/>
          <w:kern w:val="0"/>
          <w:sz w:val="20"/>
          <w:szCs w:val="20"/>
          <w:highlight w:val="none"/>
          <w:u w:val="none"/>
          <w:lang w:val="en-US" w:eastAsia="zh-CN" w:bidi="ar"/>
        </w:rPr>
        <w:t>表6</w:t>
      </w:r>
    </w:p>
    <w:tbl>
      <w:tblPr>
        <w:tblStyle w:val="4"/>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000000"/>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vAlign w:val="center"/>
          </w:tcPr>
          <w:p>
            <w:pPr>
              <w:widowControl/>
              <w:jc w:val="left"/>
              <w:rPr>
                <w:rFonts w:hint="eastAsia" w:ascii="仿宋_GB2312" w:hAnsi="宋体" w:eastAsia="仿宋_GB2312" w:cs="宋体"/>
                <w:color w:val="000000"/>
                <w:kern w:val="0"/>
                <w:sz w:val="24"/>
                <w:highlight w:val="none"/>
                <w:lang w:val="en-US" w:eastAsia="zh-CN"/>
              </w:rPr>
            </w:pPr>
            <w:r>
              <w:rPr>
                <w:rFonts w:hint="eastAsia" w:ascii="仿宋_GB2312" w:hAnsi="宋体" w:eastAsia="仿宋_GB2312" w:cs="宋体"/>
                <w:color w:val="000000"/>
                <w:kern w:val="0"/>
                <w:sz w:val="24"/>
                <w:highlight w:val="none"/>
              </w:rPr>
              <w:t>编制</w:t>
            </w:r>
            <w:r>
              <w:rPr>
                <w:rFonts w:hint="eastAsia" w:ascii="仿宋_GB2312" w:hAnsi="宋体" w:eastAsia="仿宋_GB2312"/>
                <w:kern w:val="0"/>
                <w:sz w:val="24"/>
                <w:highlight w:val="none"/>
                <w:lang w:val="en-US" w:eastAsia="zh-CN"/>
              </w:rPr>
              <w:t>单位</w:t>
            </w:r>
            <w:r>
              <w:rPr>
                <w:rFonts w:hint="eastAsia" w:ascii="仿宋_GB2312" w:hAnsi="宋体" w:eastAsia="仿宋_GB2312" w:cs="宋体"/>
                <w:color w:val="000000"/>
                <w:kern w:val="0"/>
                <w:sz w:val="24"/>
                <w:highlight w:val="none"/>
              </w:rPr>
              <w:t>：</w:t>
            </w:r>
            <w:r>
              <w:rPr>
                <w:rFonts w:hint="eastAsia" w:ascii="仿宋_GB2312" w:hAnsi="宋体" w:eastAsia="仿宋_GB2312" w:cs="宋体"/>
                <w:color w:val="000000"/>
                <w:kern w:val="0"/>
                <w:sz w:val="24"/>
                <w:highlight w:val="none"/>
                <w:lang w:val="en-US" w:eastAsia="zh-CN"/>
              </w:rPr>
              <w:t>皮山县政府投资交易中心</w:t>
            </w: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单位：万元</w:t>
            </w:r>
          </w:p>
        </w:tc>
      </w:tr>
      <w:tr>
        <w:tblPrEx>
          <w:tblLayout w:type="fixed"/>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108.65</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108.65</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01</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基本工资</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23.95</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23.95</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02</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津贴补贴</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23.92</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23.92</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03</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奖金</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8.77</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8.77</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07</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绩效工资</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19.83</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19.83</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08</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11.15</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11.15</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09</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职业年金缴费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5.57</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5.57</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10</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城镇职工基本医疗保险缴费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4.53</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4.53</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12</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其他社会保障缴费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1.57</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1.57</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13</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住房公积金</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8.36</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8.36</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301</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99</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其他工资福利支出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1.00</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1.00</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302</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 xml:space="preserve"> </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7.0</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0.76</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6.24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302</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01</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办公费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2.8</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302</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08</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取暖费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2.2</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0.76</w:t>
            </w: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1.44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302</w:t>
            </w:r>
          </w:p>
        </w:tc>
        <w:tc>
          <w:tcPr>
            <w:tcW w:w="577"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31</w:t>
            </w:r>
          </w:p>
        </w:tc>
        <w:tc>
          <w:tcPr>
            <w:tcW w:w="2891" w:type="dxa"/>
            <w:tcBorders>
              <w:top w:val="nil"/>
              <w:left w:val="nil"/>
              <w:bottom w:val="single" w:color="auto" w:sz="4" w:space="0"/>
              <w:right w:val="single" w:color="auto" w:sz="4" w:space="0"/>
            </w:tcBorders>
            <w:shd w:val="clear" w:color="auto" w:fill="auto"/>
            <w:vAlign w:val="center"/>
          </w:tcPr>
          <w:p>
            <w:pPr>
              <w:ind w:left="30" w:leftChars="0"/>
              <w:jc w:val="left"/>
              <w:rPr>
                <w:rFonts w:asciiTheme="minorHAnsi" w:hAnsiTheme="minorHAnsi" w:eastAsiaTheme="minorEastAsia" w:cstheme="minorBidi"/>
                <w:sz w:val="21"/>
                <w:szCs w:val="22"/>
              </w:rPr>
            </w:pPr>
            <w:r>
              <w:rPr>
                <w:rFonts w:ascii="仿宋" w:hAnsi="仿宋" w:eastAsia="仿宋" w:cs="仿宋"/>
                <w:position w:val="8"/>
                <w:sz w:val="20"/>
              </w:rPr>
              <w:t>公务用车运行维护费</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2.00</w:t>
            </w:r>
          </w:p>
        </w:tc>
        <w:tc>
          <w:tcPr>
            <w:tcW w:w="1701" w:type="dxa"/>
            <w:gridSpan w:val="2"/>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p>
        </w:tc>
        <w:tc>
          <w:tcPr>
            <w:tcW w:w="1701" w:type="dxa"/>
            <w:tcBorders>
              <w:top w:val="nil"/>
              <w:left w:val="nil"/>
              <w:bottom w:val="single" w:color="auto" w:sz="4" w:space="0"/>
              <w:right w:val="single" w:color="auto" w:sz="4" w:space="0"/>
            </w:tcBorders>
            <w:shd w:val="clear" w:color="auto" w:fill="auto"/>
            <w:vAlign w:val="center"/>
          </w:tcPr>
          <w:p>
            <w:pPr>
              <w:ind w:left="30" w:leftChars="0"/>
              <w:jc w:val="center"/>
              <w:rPr>
                <w:rFonts w:asciiTheme="minorHAnsi" w:hAnsiTheme="minorHAnsi" w:eastAsiaTheme="minorEastAsia" w:cstheme="minorBidi"/>
                <w:sz w:val="21"/>
                <w:szCs w:val="22"/>
              </w:rPr>
            </w:pPr>
            <w:r>
              <w:rPr>
                <w:rFonts w:ascii="黑体" w:hAnsi="黑体" w:eastAsia="黑体" w:cs="黑体"/>
                <w:position w:val="8"/>
                <w:sz w:val="16"/>
              </w:rPr>
              <w:t>2.00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6"/>
                <w:szCs w:val="16"/>
                <w:highlight w:val="none"/>
              </w:rPr>
            </w:pPr>
            <w:r>
              <w:rPr>
                <w:rFonts w:hint="eastAsia" w:ascii="仿宋_GB2312" w:hAnsi="仿宋_GB2312" w:eastAsia="仿宋_GB2312" w:cs="仿宋_GB2312"/>
                <w:b/>
                <w:bCs/>
                <w:color w:val="000000"/>
                <w:kern w:val="0"/>
                <w:sz w:val="16"/>
                <w:szCs w:val="16"/>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黑体" w:hAnsi="黑体" w:eastAsia="黑体" w:cs="黑体"/>
                <w:color w:val="000000"/>
                <w:kern w:val="0"/>
                <w:sz w:val="16"/>
                <w:szCs w:val="16"/>
                <w:highlight w:val="none"/>
                <w:lang w:val="en-US" w:eastAsia="zh-CN"/>
              </w:rPr>
            </w:pPr>
            <w:r>
              <w:rPr>
                <w:rFonts w:hint="eastAsia" w:ascii="黑体" w:hAnsi="黑体" w:eastAsia="黑体" w:cs="黑体"/>
                <w:color w:val="000000"/>
                <w:kern w:val="0"/>
                <w:sz w:val="16"/>
                <w:szCs w:val="16"/>
                <w:highlight w:val="none"/>
                <w:lang w:val="en-US" w:eastAsia="zh-CN"/>
              </w:rPr>
              <w:t>115.65</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黑体" w:hAnsi="黑体" w:eastAsia="黑体" w:cs="黑体"/>
                <w:color w:val="000000"/>
                <w:kern w:val="0"/>
                <w:sz w:val="16"/>
                <w:szCs w:val="16"/>
                <w:highlight w:val="none"/>
                <w:lang w:val="en-US" w:eastAsia="zh-CN"/>
              </w:rPr>
            </w:pPr>
            <w:r>
              <w:rPr>
                <w:rFonts w:hint="eastAsia" w:ascii="黑体" w:hAnsi="黑体" w:eastAsia="黑体" w:cs="黑体"/>
                <w:color w:val="000000"/>
                <w:kern w:val="0"/>
                <w:sz w:val="16"/>
                <w:szCs w:val="16"/>
                <w:highlight w:val="none"/>
                <w:lang w:val="en-US" w:eastAsia="zh-CN"/>
              </w:rPr>
              <w:t>109.42</w:t>
            </w:r>
          </w:p>
        </w:tc>
        <w:tc>
          <w:tcPr>
            <w:tcW w:w="1701" w:type="dxa"/>
            <w:tcBorders>
              <w:top w:val="nil"/>
              <w:left w:val="nil"/>
              <w:bottom w:val="single" w:color="auto" w:sz="4" w:space="0"/>
              <w:right w:val="single" w:color="auto" w:sz="4" w:space="0"/>
            </w:tcBorders>
            <w:vAlign w:val="center"/>
          </w:tcPr>
          <w:p>
            <w:pPr>
              <w:widowControl/>
              <w:jc w:val="center"/>
              <w:rPr>
                <w:rFonts w:hint="eastAsia" w:ascii="黑体" w:hAnsi="黑体" w:eastAsia="黑体" w:cs="黑体"/>
                <w:color w:val="000000"/>
                <w:kern w:val="0"/>
                <w:sz w:val="16"/>
                <w:szCs w:val="16"/>
                <w:highlight w:val="none"/>
                <w:lang w:val="en-US" w:eastAsia="zh-CN"/>
              </w:rPr>
            </w:pPr>
            <w:r>
              <w:rPr>
                <w:rFonts w:hint="eastAsia" w:ascii="黑体" w:hAnsi="黑体" w:eastAsia="黑体" w:cs="黑体"/>
                <w:color w:val="000000"/>
                <w:kern w:val="0"/>
                <w:sz w:val="16"/>
                <w:szCs w:val="16"/>
                <w:highlight w:val="none"/>
                <w:lang w:val="en-US" w:eastAsia="zh-CN"/>
              </w:rPr>
              <w:t>6.24</w:t>
            </w:r>
          </w:p>
        </w:tc>
      </w:tr>
    </w:tbl>
    <w:p>
      <w:pPr>
        <w:sectPr>
          <w:cols w:space="720" w:num="1"/>
        </w:sectPr>
      </w:pPr>
    </w:p>
    <w:p>
      <w:pPr>
        <w:keepNext w:val="0"/>
        <w:keepLines w:val="0"/>
        <w:widowControl/>
        <w:suppressLineNumbers w:val="0"/>
        <w:jc w:val="left"/>
        <w:textAlignment w:val="bottom"/>
        <w:rPr>
          <w:rFonts w:hint="eastAsia" w:ascii="宋体" w:hAnsi="宋体" w:eastAsia="宋体" w:cs="宋体"/>
          <w:i w:val="0"/>
          <w:color w:val="000000"/>
          <w:kern w:val="0"/>
          <w:sz w:val="20"/>
          <w:szCs w:val="20"/>
          <w:highlight w:val="none"/>
          <w:u w:val="none"/>
          <w:lang w:val="en-US" w:eastAsia="zh-CN" w:bidi="ar"/>
        </w:rPr>
      </w:pPr>
      <w:r>
        <w:br w:type="textWrapping"/>
      </w:r>
      <w:bookmarkStart w:id="3" w:name="OLE_LINK7"/>
      <w:r>
        <w:rPr>
          <w:rFonts w:hint="eastAsia" w:ascii="宋体" w:hAnsi="宋体" w:eastAsia="宋体" w:cs="宋体"/>
          <w:i w:val="0"/>
          <w:color w:val="000000"/>
          <w:kern w:val="0"/>
          <w:sz w:val="20"/>
          <w:szCs w:val="20"/>
          <w:highlight w:val="none"/>
          <w:u w:val="none"/>
          <w:lang w:val="en-US" w:eastAsia="zh-CN" w:bidi="ar"/>
        </w:rPr>
        <w:t>表7</w:t>
      </w:r>
    </w:p>
    <w:tbl>
      <w:tblPr>
        <w:tblStyle w:val="4"/>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000000"/>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5294" w:type="dxa"/>
            <w:gridSpan w:val="8"/>
            <w:tcBorders>
              <w:top w:val="nil"/>
              <w:left w:val="nil"/>
              <w:bottom w:val="nil"/>
              <w:right w:val="nil"/>
            </w:tcBorders>
            <w:vAlign w:val="center"/>
          </w:tcPr>
          <w:p>
            <w:pPr>
              <w:widowControl/>
              <w:jc w:val="left"/>
              <w:rPr>
                <w:rFonts w:hint="eastAsia" w:ascii="仿宋_GB2312" w:hAnsi="宋体" w:eastAsia="仿宋_GB2312" w:cs="宋体"/>
                <w:color w:val="000000"/>
                <w:kern w:val="0"/>
                <w:sz w:val="24"/>
                <w:highlight w:val="none"/>
                <w:lang w:val="en-US" w:eastAsia="zh-CN"/>
              </w:rPr>
            </w:pPr>
            <w:r>
              <w:rPr>
                <w:rFonts w:hint="eastAsia" w:ascii="仿宋_GB2312" w:hAnsi="宋体" w:eastAsia="仿宋_GB2312" w:cs="宋体"/>
                <w:color w:val="000000"/>
                <w:kern w:val="0"/>
                <w:sz w:val="24"/>
                <w:highlight w:val="none"/>
              </w:rPr>
              <w:t>编制</w:t>
            </w:r>
            <w:r>
              <w:rPr>
                <w:rFonts w:hint="eastAsia" w:ascii="仿宋_GB2312" w:hAnsi="宋体" w:eastAsia="仿宋_GB2312"/>
                <w:kern w:val="0"/>
                <w:sz w:val="24"/>
                <w:highlight w:val="none"/>
                <w:lang w:val="en-US" w:eastAsia="zh-CN"/>
              </w:rPr>
              <w:t>单位</w:t>
            </w:r>
            <w:r>
              <w:rPr>
                <w:rFonts w:hint="eastAsia" w:ascii="仿宋_GB2312" w:hAnsi="宋体" w:eastAsia="仿宋_GB2312" w:cs="宋体"/>
                <w:color w:val="000000"/>
                <w:kern w:val="0"/>
                <w:sz w:val="24"/>
                <w:highlight w:val="none"/>
              </w:rPr>
              <w:t>：</w:t>
            </w:r>
            <w:r>
              <w:rPr>
                <w:rFonts w:hint="eastAsia" w:ascii="仿宋_GB2312" w:hAnsi="宋体" w:eastAsia="仿宋_GB2312" w:cs="宋体"/>
                <w:color w:val="000000"/>
                <w:kern w:val="0"/>
                <w:sz w:val="24"/>
                <w:highlight w:val="none"/>
                <w:lang w:val="en-US" w:eastAsia="zh-CN"/>
              </w:rPr>
              <w:t>皮山县政府投资交易中心</w:t>
            </w: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hint="eastAsia" w:ascii="仿宋_GB2312" w:hAnsi="宋体" w:eastAsia="仿宋_GB2312"/>
                <w:b/>
                <w:kern w:val="0"/>
                <w:sz w:val="20"/>
                <w:szCs w:val="20"/>
                <w:highlight w:val="none"/>
                <w:lang w:eastAsia="zh-CN"/>
              </w:rPr>
            </w:pPr>
            <w:r>
              <w:rPr>
                <w:rFonts w:hint="eastAsia" w:ascii="仿宋_GB2312" w:hAnsi="宋体" w:eastAsia="仿宋_GB2312"/>
                <w:b/>
                <w:color w:val="000000"/>
                <w:kern w:val="0"/>
                <w:sz w:val="20"/>
                <w:szCs w:val="20"/>
                <w:highlight w:val="none"/>
                <w:lang w:eastAsia="zh-CN"/>
              </w:rPr>
              <w:t>名称</w:t>
            </w:r>
          </w:p>
        </w:tc>
        <w:tc>
          <w:tcPr>
            <w:tcW w:w="1400"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p>
        </w:tc>
        <w:tc>
          <w:tcPr>
            <w:tcW w:w="417" w:type="dxa"/>
            <w:vAlign w:val="top"/>
          </w:tcPr>
          <w:p>
            <w:pPr>
              <w:widowControl/>
              <w:jc w:val="left"/>
              <w:outlineLvl w:val="1"/>
              <w:rPr>
                <w:rFonts w:ascii="仿宋_GB2312" w:hAnsi="宋体" w:eastAsia="仿宋_GB2312"/>
                <w:kern w:val="0"/>
                <w:sz w:val="32"/>
                <w:szCs w:val="32"/>
                <w:highlight w:val="none"/>
              </w:rPr>
            </w:pPr>
          </w:p>
        </w:tc>
        <w:tc>
          <w:tcPr>
            <w:tcW w:w="417" w:type="dxa"/>
            <w:vAlign w:val="top"/>
          </w:tcPr>
          <w:p>
            <w:pPr>
              <w:widowControl/>
              <w:jc w:val="left"/>
              <w:outlineLvl w:val="1"/>
              <w:rPr>
                <w:rFonts w:ascii="仿宋_GB2312" w:hAnsi="宋体" w:eastAsia="仿宋_GB2312"/>
                <w:kern w:val="0"/>
                <w:sz w:val="32"/>
                <w:szCs w:val="32"/>
                <w:highlight w:val="none"/>
              </w:rPr>
            </w:pPr>
          </w:p>
        </w:tc>
        <w:tc>
          <w:tcPr>
            <w:tcW w:w="828" w:type="dxa"/>
            <w:vAlign w:val="top"/>
          </w:tcPr>
          <w:p>
            <w:pPr>
              <w:widowControl/>
              <w:jc w:val="left"/>
              <w:outlineLvl w:val="1"/>
              <w:rPr>
                <w:rFonts w:ascii="仿宋_GB2312" w:hAnsi="宋体" w:eastAsia="仿宋_GB2312"/>
                <w:kern w:val="0"/>
                <w:sz w:val="32"/>
                <w:szCs w:val="32"/>
                <w:highlight w:val="none"/>
              </w:rPr>
            </w:pPr>
          </w:p>
        </w:tc>
        <w:tc>
          <w:tcPr>
            <w:tcW w:w="1400" w:type="dxa"/>
            <w:vAlign w:val="top"/>
          </w:tcPr>
          <w:p>
            <w:pPr>
              <w:widowControl/>
              <w:jc w:val="left"/>
              <w:outlineLvl w:val="1"/>
              <w:rPr>
                <w:rFonts w:ascii="仿宋_GB2312" w:hAnsi="宋体" w:eastAsia="仿宋_GB2312"/>
                <w:kern w:val="0"/>
                <w:sz w:val="32"/>
                <w:szCs w:val="32"/>
                <w:highlight w:val="none"/>
              </w:rPr>
            </w:pPr>
          </w:p>
        </w:tc>
        <w:tc>
          <w:tcPr>
            <w:tcW w:w="732" w:type="dxa"/>
            <w:vAlign w:val="top"/>
          </w:tcPr>
          <w:p>
            <w:pPr>
              <w:widowControl/>
              <w:jc w:val="left"/>
              <w:outlineLvl w:val="1"/>
              <w:rPr>
                <w:rFonts w:ascii="仿宋_GB2312" w:hAnsi="宋体" w:eastAsia="仿宋_GB2312"/>
                <w:kern w:val="0"/>
                <w:sz w:val="32"/>
                <w:szCs w:val="32"/>
                <w:highlight w:val="none"/>
              </w:rPr>
            </w:pPr>
          </w:p>
        </w:tc>
        <w:tc>
          <w:tcPr>
            <w:tcW w:w="561" w:type="dxa"/>
            <w:vAlign w:val="top"/>
          </w:tcPr>
          <w:p>
            <w:pPr>
              <w:widowControl/>
              <w:jc w:val="left"/>
              <w:outlineLvl w:val="1"/>
              <w:rPr>
                <w:rFonts w:ascii="仿宋_GB2312" w:hAnsi="宋体" w:eastAsia="仿宋_GB2312"/>
                <w:kern w:val="0"/>
                <w:sz w:val="32"/>
                <w:szCs w:val="32"/>
                <w:highlight w:val="none"/>
              </w:rPr>
            </w:pPr>
          </w:p>
        </w:tc>
        <w:tc>
          <w:tcPr>
            <w:tcW w:w="530" w:type="dxa"/>
            <w:vAlign w:val="top"/>
          </w:tcPr>
          <w:p>
            <w:pPr>
              <w:widowControl/>
              <w:jc w:val="left"/>
              <w:outlineLvl w:val="1"/>
              <w:rPr>
                <w:rFonts w:ascii="仿宋_GB2312" w:hAnsi="宋体" w:eastAsia="仿宋_GB2312"/>
                <w:kern w:val="0"/>
                <w:sz w:val="32"/>
                <w:szCs w:val="32"/>
                <w:highlight w:val="none"/>
              </w:rPr>
            </w:pPr>
          </w:p>
        </w:tc>
        <w:tc>
          <w:tcPr>
            <w:tcW w:w="639" w:type="dxa"/>
            <w:vAlign w:val="top"/>
          </w:tcPr>
          <w:p>
            <w:pPr>
              <w:widowControl/>
              <w:jc w:val="left"/>
              <w:outlineLvl w:val="1"/>
              <w:rPr>
                <w:rFonts w:ascii="仿宋_GB2312" w:hAnsi="宋体" w:eastAsia="仿宋_GB2312"/>
                <w:kern w:val="0"/>
                <w:sz w:val="32"/>
                <w:szCs w:val="32"/>
                <w:highlight w:val="none"/>
              </w:rPr>
            </w:pPr>
          </w:p>
        </w:tc>
        <w:tc>
          <w:tcPr>
            <w:tcW w:w="639" w:type="dxa"/>
            <w:vAlign w:val="top"/>
          </w:tcPr>
          <w:p>
            <w:pPr>
              <w:widowControl/>
              <w:jc w:val="left"/>
              <w:outlineLvl w:val="1"/>
              <w:rPr>
                <w:rFonts w:ascii="仿宋_GB2312" w:hAnsi="宋体" w:eastAsia="仿宋_GB2312"/>
                <w:kern w:val="0"/>
                <w:sz w:val="32"/>
                <w:szCs w:val="32"/>
                <w:highlight w:val="none"/>
              </w:rPr>
            </w:pPr>
          </w:p>
        </w:tc>
        <w:tc>
          <w:tcPr>
            <w:tcW w:w="618" w:type="dxa"/>
            <w:gridSpan w:val="2"/>
            <w:vAlign w:val="top"/>
          </w:tcPr>
          <w:p>
            <w:pPr>
              <w:widowControl/>
              <w:jc w:val="left"/>
              <w:outlineLvl w:val="1"/>
              <w:rPr>
                <w:rFonts w:ascii="仿宋_GB2312" w:hAnsi="宋体" w:eastAsia="仿宋_GB2312"/>
                <w:kern w:val="0"/>
                <w:sz w:val="32"/>
                <w:szCs w:val="32"/>
                <w:highlight w:val="none"/>
              </w:rPr>
            </w:pPr>
          </w:p>
        </w:tc>
        <w:tc>
          <w:tcPr>
            <w:tcW w:w="419" w:type="dxa"/>
            <w:vAlign w:val="top"/>
          </w:tcPr>
          <w:p>
            <w:pPr>
              <w:widowControl/>
              <w:jc w:val="left"/>
              <w:outlineLvl w:val="1"/>
              <w:rPr>
                <w:rFonts w:ascii="仿宋_GB2312" w:hAnsi="宋体" w:eastAsia="仿宋_GB2312"/>
                <w:kern w:val="0"/>
                <w:sz w:val="32"/>
                <w:szCs w:val="32"/>
                <w:highlight w:val="none"/>
              </w:rPr>
            </w:pPr>
          </w:p>
        </w:tc>
        <w:tc>
          <w:tcPr>
            <w:tcW w:w="618" w:type="dxa"/>
            <w:vAlign w:val="top"/>
          </w:tcPr>
          <w:p>
            <w:pPr>
              <w:widowControl/>
              <w:jc w:val="left"/>
              <w:outlineLvl w:val="1"/>
              <w:rPr>
                <w:rFonts w:ascii="仿宋_GB2312" w:hAnsi="宋体" w:eastAsia="仿宋_GB2312"/>
                <w:kern w:val="0"/>
                <w:sz w:val="32"/>
                <w:szCs w:val="32"/>
                <w:highlight w:val="none"/>
              </w:rPr>
            </w:pPr>
          </w:p>
        </w:tc>
        <w:tc>
          <w:tcPr>
            <w:tcW w:w="420" w:type="dxa"/>
            <w:vAlign w:val="top"/>
          </w:tcPr>
          <w:p>
            <w:pPr>
              <w:widowControl/>
              <w:jc w:val="left"/>
              <w:outlineLvl w:val="1"/>
              <w:rPr>
                <w:rFonts w:ascii="仿宋_GB2312" w:hAnsi="宋体" w:eastAsia="仿宋_GB2312"/>
                <w:kern w:val="0"/>
                <w:sz w:val="32"/>
                <w:szCs w:val="32"/>
                <w:highlight w:val="none"/>
              </w:rPr>
            </w:pPr>
          </w:p>
        </w:tc>
        <w:tc>
          <w:tcPr>
            <w:tcW w:w="420" w:type="dxa"/>
            <w:vAlign w:val="top"/>
          </w:tcPr>
          <w:p>
            <w:pPr>
              <w:widowControl/>
              <w:jc w:val="left"/>
              <w:outlineLvl w:val="1"/>
              <w:rPr>
                <w:rFonts w:ascii="仿宋_GB2312" w:hAnsi="宋体" w:eastAsia="仿宋_GB2312"/>
                <w:kern w:val="0"/>
                <w:sz w:val="32"/>
                <w:szCs w:val="32"/>
                <w:highlight w:val="none"/>
              </w:rPr>
            </w:pPr>
          </w:p>
        </w:tc>
        <w:tc>
          <w:tcPr>
            <w:tcW w:w="465" w:type="dxa"/>
            <w:gridSpan w:val="2"/>
            <w:vAlign w:val="top"/>
          </w:tcPr>
          <w:p>
            <w:pPr>
              <w:widowControl/>
              <w:jc w:val="left"/>
              <w:outlineLvl w:val="1"/>
              <w:rPr>
                <w:rFonts w:ascii="仿宋_GB2312" w:hAnsi="宋体" w:eastAsia="仿宋_GB2312"/>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732"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2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400" w:type="dxa"/>
            <w:vAlign w:val="center"/>
          </w:tcPr>
          <w:p>
            <w:pPr>
              <w:widowControl/>
              <w:jc w:val="center"/>
              <w:outlineLvl w:val="1"/>
              <w:rPr>
                <w:rFonts w:ascii="仿宋_GB2312" w:hAnsi="宋体" w:eastAsia="仿宋_GB2312"/>
                <w:kern w:val="0"/>
                <w:sz w:val="32"/>
                <w:szCs w:val="32"/>
                <w:highlight w:val="none"/>
              </w:rPr>
            </w:pPr>
            <w:r>
              <w:rPr>
                <w:rFonts w:hint="eastAsia" w:ascii="仿宋_GB2312" w:hAnsi="宋体" w:eastAsia="仿宋_GB2312"/>
                <w:b/>
                <w:bCs/>
                <w:kern w:val="0"/>
                <w:sz w:val="20"/>
                <w:szCs w:val="20"/>
                <w:highlight w:val="none"/>
              </w:rPr>
              <w:t>合 计</w:t>
            </w:r>
          </w:p>
        </w:tc>
        <w:tc>
          <w:tcPr>
            <w:tcW w:w="732" w:type="dxa"/>
            <w:vAlign w:val="center"/>
          </w:tcPr>
          <w:p>
            <w:pPr>
              <w:widowControl/>
              <w:jc w:val="center"/>
              <w:outlineLvl w:val="1"/>
              <w:rPr>
                <w:rFonts w:ascii="仿宋_GB2312" w:hAnsi="宋体" w:eastAsia="仿宋_GB2312"/>
                <w:kern w:val="0"/>
                <w:szCs w:val="21"/>
                <w:highlight w:val="none"/>
              </w:rPr>
            </w:pPr>
          </w:p>
        </w:tc>
        <w:tc>
          <w:tcPr>
            <w:tcW w:w="56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bookmarkEnd w:id="3"/>
    </w:tbl>
    <w:p>
      <w:pPr>
        <w:sectPr>
          <w:cols w:space="720" w:num="1"/>
        </w:sectPr>
      </w:pPr>
      <w:r>
        <w:rPr>
          <w:rFonts w:ascii="仿宋" w:hAnsi="仿宋" w:eastAsia="仿宋" w:cs="仿宋"/>
          <w:b/>
          <w:bCs/>
          <w:position w:val="8"/>
          <w:sz w:val="20"/>
        </w:rPr>
        <w:t>皮山县政府投资交易中心2023年没有公共预算项目安排的支出，一般公共预算项目支出情况表为空表。</w:t>
      </w:r>
    </w:p>
    <w:p>
      <w:pPr>
        <w:keepNext w:val="0"/>
        <w:keepLines w:val="0"/>
        <w:widowControl/>
        <w:suppressLineNumbers w:val="0"/>
        <w:jc w:val="left"/>
        <w:textAlignment w:val="bottom"/>
        <w:rPr>
          <w:rFonts w:hint="default" w:ascii="宋体" w:hAnsi="宋体" w:eastAsia="宋体" w:cs="宋体"/>
          <w:i w:val="0"/>
          <w:color w:val="000000"/>
          <w:kern w:val="0"/>
          <w:sz w:val="20"/>
          <w:szCs w:val="20"/>
          <w:highlight w:val="none"/>
          <w:u w:val="none"/>
          <w:lang w:eastAsia="zh-CN" w:bidi="ar"/>
        </w:rPr>
      </w:pPr>
      <w:r>
        <w:br w:type="textWrapping"/>
      </w:r>
      <w:r>
        <w:rPr>
          <w:rFonts w:hint="eastAsia" w:ascii="宋体" w:hAnsi="宋体" w:eastAsia="宋体" w:cs="宋体"/>
          <w:i w:val="0"/>
          <w:color w:val="000000"/>
          <w:kern w:val="0"/>
          <w:sz w:val="20"/>
          <w:szCs w:val="20"/>
          <w:highlight w:val="none"/>
          <w:u w:val="none"/>
          <w:lang w:val="en-US" w:eastAsia="zh-CN" w:bidi="ar"/>
        </w:rPr>
        <w:t>表</w:t>
      </w:r>
      <w:r>
        <w:rPr>
          <w:rFonts w:hint="default" w:ascii="宋体" w:hAnsi="宋体" w:eastAsia="宋体" w:cs="宋体"/>
          <w:i w:val="0"/>
          <w:color w:val="000000"/>
          <w:kern w:val="0"/>
          <w:sz w:val="20"/>
          <w:szCs w:val="20"/>
          <w:highlight w:val="none"/>
          <w:u w:val="none"/>
          <w:lang w:eastAsia="zh-CN" w:bidi="ar"/>
        </w:rPr>
        <w:t>8</w:t>
      </w:r>
    </w:p>
    <w:p>
      <w:pPr>
        <w:widowControl/>
        <w:jc w:val="center"/>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w:t>
      </w:r>
      <w:r>
        <w:rPr>
          <w:rFonts w:hint="eastAsia" w:ascii="仿宋_GB2312" w:hAnsi="宋体" w:eastAsia="仿宋_GB2312"/>
          <w:kern w:val="0"/>
          <w:sz w:val="24"/>
          <w:highlight w:val="none"/>
          <w:lang w:val="en-US" w:eastAsia="zh-CN"/>
        </w:rPr>
        <w:t>单位</w:t>
      </w:r>
      <w:r>
        <w:rPr>
          <w:rFonts w:hint="eastAsia" w:ascii="仿宋_GB2312" w:hAnsi="宋体" w:eastAsia="仿宋_GB2312"/>
          <w:kern w:val="0"/>
          <w:sz w:val="24"/>
          <w:highlight w:val="none"/>
        </w:rPr>
        <w:t>：</w:t>
      </w:r>
      <w:r>
        <w:rPr>
          <w:rFonts w:hint="eastAsia" w:ascii="仿宋_GB2312" w:hAnsi="宋体" w:eastAsia="仿宋_GB2312"/>
          <w:kern w:val="0"/>
          <w:sz w:val="24"/>
          <w:highlight w:val="none"/>
          <w:lang w:val="en-US" w:eastAsia="zh-CN"/>
        </w:rPr>
        <w:t>皮山县政府投资交易中心</w:t>
      </w:r>
      <w:r>
        <w:rPr>
          <w:rFonts w:hint="eastAsia" w:ascii="仿宋_GB2312" w:hAnsi="宋体" w:eastAsia="仿宋_GB2312"/>
          <w:kern w:val="0"/>
          <w:sz w:val="24"/>
          <w:highlight w:val="none"/>
        </w:rPr>
        <w:t xml:space="preserve">                   </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 xml:space="preserve">        单位：万元</w:t>
      </w:r>
    </w:p>
    <w:tbl>
      <w:tblPr>
        <w:tblStyle w:val="4"/>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  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tblPrEx>
          <w:tblLayout w:type="fixed"/>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45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24"/>
                <w:highlight w:val="none"/>
              </w:rPr>
            </w:pPr>
            <w:r>
              <w:rPr>
                <w:rFonts w:hint="eastAsia" w:ascii="宋体" w:hAnsi="宋体" w:cs="宋体"/>
                <w:color w:val="000000"/>
                <w:kern w:val="0"/>
                <w:sz w:val="24"/>
                <w:highlight w:val="none"/>
              </w:rPr>
              <w:t>　</w:t>
            </w:r>
          </w:p>
        </w:tc>
        <w:tc>
          <w:tcPr>
            <w:tcW w:w="69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r>
              <w:rPr>
                <w:rFonts w:hint="eastAsia" w:ascii="仿宋_GB2312" w:hAnsi="宋体" w:eastAsia="仿宋_GB2312" w:cs="宋体"/>
                <w:b/>
                <w:bCs/>
                <w:color w:val="000000"/>
                <w:kern w:val="0"/>
                <w:sz w:val="20"/>
                <w:szCs w:val="20"/>
                <w:highlight w:val="none"/>
              </w:rPr>
              <w:t>合  计</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bl>
    <w:p>
      <w:pPr>
        <w:sectPr>
          <w:cols w:space="720" w:num="1"/>
        </w:sectPr>
      </w:pPr>
      <w:r>
        <w:rPr>
          <w:rFonts w:ascii="仿宋" w:hAnsi="仿宋" w:eastAsia="仿宋" w:cs="仿宋"/>
          <w:b/>
          <w:bCs/>
          <w:position w:val="8"/>
          <w:sz w:val="20"/>
        </w:rPr>
        <w:t>皮山县政府投资交易中心2023年没有使用政府性基金预算拨款安排的支出，政府性基金预算支出情况表为空表。</w:t>
      </w:r>
    </w:p>
    <w:tbl>
      <w:tblPr>
        <w:tblStyle w:val="4"/>
        <w:tblW w:w="895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5"/>
        <w:gridCol w:w="39"/>
        <w:gridCol w:w="1135"/>
        <w:gridCol w:w="1303"/>
        <w:gridCol w:w="1"/>
        <w:gridCol w:w="1847"/>
        <w:gridCol w:w="1"/>
        <w:gridCol w:w="1122"/>
        <w:gridCol w:w="1"/>
        <w:gridCol w:w="1123"/>
        <w:gridCol w:w="1"/>
        <w:gridCol w:w="1"/>
        <w:gridCol w:w="1293"/>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240" w:hRule="atLeast"/>
        </w:trPr>
        <w:tc>
          <w:tcPr>
            <w:tcW w:w="1085" w:type="dxa"/>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rPr>
            </w:pPr>
            <w:r>
              <w:rPr>
                <w:rFonts w:hint="eastAsia" w:ascii="宋体" w:hAnsi="宋体" w:eastAsia="宋体" w:cs="宋体"/>
                <w:i w:val="0"/>
                <w:color w:val="000000"/>
                <w:kern w:val="0"/>
                <w:sz w:val="20"/>
                <w:szCs w:val="20"/>
                <w:highlight w:val="none"/>
                <w:u w:val="none"/>
                <w:lang w:val="en-US" w:eastAsia="zh-CN" w:bidi="ar"/>
              </w:rPr>
              <w:t>表</w:t>
            </w:r>
            <w:r>
              <w:rPr>
                <w:rFonts w:hint="default" w:ascii="宋体" w:hAnsi="宋体" w:eastAsia="宋体" w:cs="宋体"/>
                <w:i w:val="0"/>
                <w:color w:val="000000"/>
                <w:kern w:val="0"/>
                <w:sz w:val="20"/>
                <w:szCs w:val="20"/>
                <w:highlight w:val="none"/>
                <w:u w:val="none"/>
                <w:lang w:eastAsia="zh-CN" w:bidi="ar"/>
              </w:rPr>
              <w:t>9</w:t>
            </w:r>
          </w:p>
        </w:tc>
        <w:tc>
          <w:tcPr>
            <w:tcW w:w="1174" w:type="dxa"/>
            <w:gridSpan w:val="2"/>
            <w:tcBorders>
              <w:top w:val="nil"/>
              <w:left w:val="nil"/>
              <w:bottom w:val="nil"/>
              <w:right w:val="nil"/>
            </w:tcBorders>
            <w:vAlign w:val="center"/>
          </w:tcPr>
          <w:p>
            <w:pPr>
              <w:rPr>
                <w:rFonts w:hint="eastAsia" w:ascii="宋体" w:hAnsi="宋体" w:eastAsia="宋体" w:cs="宋体"/>
                <w:i w:val="0"/>
                <w:iCs w:val="0"/>
                <w:color w:val="000000"/>
                <w:sz w:val="22"/>
                <w:szCs w:val="22"/>
                <w:highlight w:val="none"/>
                <w:u w:val="none"/>
              </w:rPr>
            </w:pPr>
          </w:p>
        </w:tc>
        <w:tc>
          <w:tcPr>
            <w:tcW w:w="1303" w:type="dxa"/>
            <w:tcBorders>
              <w:top w:val="nil"/>
              <w:left w:val="nil"/>
              <w:bottom w:val="nil"/>
              <w:right w:val="nil"/>
            </w:tcBorders>
            <w:vAlign w:val="center"/>
          </w:tcPr>
          <w:p>
            <w:pPr>
              <w:rPr>
                <w:rFonts w:hint="eastAsia" w:ascii="宋体" w:hAnsi="宋体" w:eastAsia="宋体" w:cs="宋体"/>
                <w:i w:val="0"/>
                <w:iCs w:val="0"/>
                <w:color w:val="000000"/>
                <w:sz w:val="22"/>
                <w:szCs w:val="22"/>
                <w:highlight w:val="none"/>
                <w:u w:val="none"/>
              </w:rPr>
            </w:pPr>
          </w:p>
        </w:tc>
        <w:tc>
          <w:tcPr>
            <w:tcW w:w="1848" w:type="dxa"/>
            <w:gridSpan w:val="2"/>
            <w:tcBorders>
              <w:top w:val="nil"/>
              <w:left w:val="nil"/>
              <w:bottom w:val="nil"/>
              <w:right w:val="nil"/>
            </w:tcBorders>
            <w:vAlign w:val="center"/>
          </w:tcPr>
          <w:p>
            <w:pPr>
              <w:rPr>
                <w:rFonts w:hint="eastAsia" w:ascii="宋体" w:hAnsi="宋体" w:eastAsia="宋体" w:cs="宋体"/>
                <w:i w:val="0"/>
                <w:iCs w:val="0"/>
                <w:color w:val="000000"/>
                <w:sz w:val="22"/>
                <w:szCs w:val="22"/>
                <w:highlight w:val="none"/>
                <w:u w:val="none"/>
              </w:rPr>
            </w:pPr>
          </w:p>
        </w:tc>
        <w:tc>
          <w:tcPr>
            <w:tcW w:w="1123" w:type="dxa"/>
            <w:gridSpan w:val="2"/>
            <w:tcBorders>
              <w:top w:val="nil"/>
              <w:left w:val="nil"/>
              <w:bottom w:val="nil"/>
              <w:right w:val="nil"/>
            </w:tcBorders>
            <w:vAlign w:val="center"/>
          </w:tcPr>
          <w:p>
            <w:pPr>
              <w:rPr>
                <w:rFonts w:hint="eastAsia" w:ascii="宋体" w:hAnsi="宋体" w:eastAsia="宋体" w:cs="宋体"/>
                <w:i w:val="0"/>
                <w:iCs w:val="0"/>
                <w:color w:val="000000"/>
                <w:sz w:val="22"/>
                <w:szCs w:val="22"/>
                <w:highlight w:val="none"/>
                <w:u w:val="none"/>
              </w:rPr>
            </w:pPr>
          </w:p>
        </w:tc>
        <w:tc>
          <w:tcPr>
            <w:tcW w:w="2419" w:type="dxa"/>
            <w:gridSpan w:val="5"/>
            <w:tcBorders>
              <w:top w:val="nil"/>
              <w:left w:val="nil"/>
              <w:bottom w:val="nil"/>
              <w:right w:val="nil"/>
            </w:tcBorders>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trPr>
        <w:tc>
          <w:tcPr>
            <w:tcW w:w="1124" w:type="dxa"/>
            <w:gridSpan w:val="2"/>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b/>
                <w:kern w:val="0"/>
                <w:sz w:val="32"/>
                <w:szCs w:val="32"/>
                <w:highlight w:val="none"/>
                <w:lang w:val="en-US" w:eastAsia="zh-CN"/>
              </w:rPr>
            </w:pPr>
          </w:p>
        </w:tc>
        <w:tc>
          <w:tcPr>
            <w:tcW w:w="7829" w:type="dxa"/>
            <w:gridSpan w:val="12"/>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仿宋_GB2312" w:hAnsi="宋体" w:eastAsia="仿宋_GB2312"/>
                <w:b/>
                <w:kern w:val="0"/>
                <w:sz w:val="32"/>
                <w:szCs w:val="32"/>
                <w:highlight w:val="none"/>
                <w:lang w:val="en-US" w:eastAsia="zh-CN"/>
              </w:rPr>
              <w:t>国有资本经营预算支出情况表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0" w:hRule="atLeast"/>
        </w:trPr>
        <w:tc>
          <w:tcPr>
            <w:tcW w:w="5411" w:type="dxa"/>
            <w:gridSpan w:val="7"/>
            <w:tcBorders>
              <w:top w:val="nil"/>
              <w:left w:val="nil"/>
              <w:bottom w:val="nil"/>
              <w:right w:val="nil"/>
            </w:tcBorders>
            <w:vAlign w:val="center"/>
          </w:tcPr>
          <w:p>
            <w:pPr>
              <w:widowControl/>
              <w:spacing w:line="280" w:lineRule="exact"/>
              <w:jc w:val="left"/>
              <w:outlineLvl w:val="1"/>
              <w:rPr>
                <w:rFonts w:hint="default" w:ascii="仿宋_GB2312" w:hAnsi="宋体" w:eastAsia="仿宋_GB2312"/>
                <w:kern w:val="0"/>
                <w:sz w:val="24"/>
                <w:highlight w:val="none"/>
                <w:lang w:val="en-US"/>
              </w:rPr>
            </w:pPr>
            <w:r>
              <w:rPr>
                <w:rFonts w:hint="eastAsia" w:ascii="仿宋_GB2312" w:hAnsi="宋体" w:eastAsia="仿宋_GB2312"/>
                <w:kern w:val="0"/>
                <w:sz w:val="24"/>
                <w:highlight w:val="none"/>
                <w:lang w:val="en-US" w:eastAsia="zh-CN"/>
              </w:rPr>
              <w:t>编制单位：皮山县政府投资交易中心</w:t>
            </w:r>
          </w:p>
        </w:tc>
        <w:tc>
          <w:tcPr>
            <w:tcW w:w="1122" w:type="dxa"/>
            <w:tcBorders>
              <w:top w:val="nil"/>
              <w:left w:val="nil"/>
              <w:bottom w:val="nil"/>
              <w:right w:val="nil"/>
            </w:tcBorders>
            <w:vAlign w:val="center"/>
          </w:tcPr>
          <w:p>
            <w:pPr>
              <w:widowControl/>
              <w:spacing w:line="280" w:lineRule="exact"/>
              <w:jc w:val="right"/>
              <w:outlineLvl w:val="1"/>
              <w:rPr>
                <w:rFonts w:hint="eastAsia" w:ascii="仿宋_GB2312" w:hAnsi="宋体" w:eastAsia="仿宋_GB2312"/>
                <w:kern w:val="0"/>
                <w:sz w:val="24"/>
                <w:highlight w:val="none"/>
                <w:lang w:val="en-US" w:eastAsia="zh-CN"/>
              </w:rPr>
            </w:pPr>
          </w:p>
        </w:tc>
        <w:tc>
          <w:tcPr>
            <w:tcW w:w="2420" w:type="dxa"/>
            <w:gridSpan w:val="6"/>
            <w:tcBorders>
              <w:top w:val="nil"/>
              <w:left w:val="nil"/>
              <w:bottom w:val="nil"/>
              <w:right w:val="nil"/>
            </w:tcBorders>
            <w:vAlign w:val="center"/>
          </w:tcPr>
          <w:p>
            <w:pPr>
              <w:widowControl/>
              <w:spacing w:line="280" w:lineRule="exact"/>
              <w:jc w:val="right"/>
              <w:outlineLvl w:val="1"/>
              <w:rPr>
                <w:rFonts w:hint="eastAsia" w:ascii="仿宋_GB2312" w:hAnsi="宋体" w:eastAsia="仿宋_GB2312"/>
                <w:kern w:val="0"/>
                <w:sz w:val="24"/>
                <w:highlight w:val="none"/>
              </w:rPr>
            </w:pPr>
            <w:r>
              <w:rPr>
                <w:rFonts w:hint="eastAsia" w:ascii="仿宋_GB2312" w:hAnsi="宋体" w:eastAsia="仿宋_GB2312"/>
                <w:kern w:val="0"/>
                <w:sz w:val="24"/>
                <w:highlight w:val="none"/>
                <w:lang w:val="en-US" w:eastAsia="zh-CN"/>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 w:hRule="atLeast"/>
        </w:trPr>
        <w:tc>
          <w:tcPr>
            <w:tcW w:w="5411"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lang w:val="en-US" w:eastAsia="zh-CN"/>
              </w:rPr>
              <w:t>项目</w:t>
            </w:r>
          </w:p>
        </w:tc>
        <w:tc>
          <w:tcPr>
            <w:tcW w:w="3542" w:type="dxa"/>
            <w:gridSpan w:val="7"/>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szCs w:val="24"/>
                <w:highlight w:val="none"/>
              </w:rPr>
            </w:pPr>
            <w:r>
              <w:rPr>
                <w:rFonts w:hint="eastAsia" w:ascii="仿宋_GB2312" w:hAnsi="宋体" w:eastAsia="仿宋_GB2312" w:cs="宋体"/>
                <w:b/>
                <w:bCs/>
                <w:color w:val="000000"/>
                <w:kern w:val="0"/>
                <w:sz w:val="24"/>
                <w:szCs w:val="24"/>
                <w:highlight w:val="none"/>
                <w:lang w:val="en-US" w:eastAsia="zh-CN"/>
              </w:rPr>
              <w:t>国有资本经营预算支出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3563"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仿宋_GB2312" w:hAnsi="宋体" w:eastAsia="仿宋_GB2312" w:cs="宋体"/>
                <w:b/>
                <w:bCs/>
                <w:color w:val="000000"/>
                <w:kern w:val="0"/>
                <w:sz w:val="20"/>
                <w:szCs w:val="20"/>
                <w:highlight w:val="none"/>
                <w:lang w:val="en-US" w:eastAsia="zh-CN"/>
              </w:rPr>
              <w:t>功能分类科目编码</w:t>
            </w:r>
          </w:p>
        </w:tc>
        <w:tc>
          <w:tcPr>
            <w:tcW w:w="184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0"/>
                <w:szCs w:val="20"/>
                <w:highlight w:val="none"/>
                <w:lang w:val="en-US" w:eastAsia="zh-CN"/>
              </w:rPr>
            </w:pPr>
            <w:r>
              <w:rPr>
                <w:rFonts w:hint="eastAsia" w:ascii="仿宋_GB2312" w:hAnsi="宋体" w:eastAsia="仿宋_GB2312" w:cs="宋体"/>
                <w:b/>
                <w:bCs/>
                <w:color w:val="000000"/>
                <w:kern w:val="0"/>
                <w:sz w:val="20"/>
                <w:szCs w:val="20"/>
                <w:highlight w:val="none"/>
                <w:lang w:val="en-US" w:eastAsia="zh-CN"/>
              </w:rPr>
              <w:t>功能分类</w:t>
            </w:r>
          </w:p>
          <w:p>
            <w:pPr>
              <w:widowControl/>
              <w:spacing w:line="280" w:lineRule="exact"/>
              <w:jc w:val="center"/>
              <w:rPr>
                <w:rFonts w:hint="eastAsia" w:ascii="仿宋_GB2312" w:hAnsi="宋体" w:eastAsia="仿宋_GB2312" w:cs="宋体"/>
                <w:b/>
                <w:bCs/>
                <w:color w:val="000000"/>
                <w:kern w:val="0"/>
                <w:sz w:val="20"/>
                <w:szCs w:val="20"/>
                <w:highlight w:val="none"/>
                <w:lang w:val="en-US" w:eastAsia="zh-CN"/>
              </w:rPr>
            </w:pPr>
            <w:r>
              <w:rPr>
                <w:rFonts w:hint="eastAsia" w:ascii="仿宋_GB2312" w:hAnsi="宋体" w:eastAsia="仿宋_GB2312" w:cs="宋体"/>
                <w:b/>
                <w:bCs/>
                <w:color w:val="000000"/>
                <w:kern w:val="0"/>
                <w:sz w:val="20"/>
                <w:szCs w:val="20"/>
                <w:highlight w:val="none"/>
                <w:lang w:val="en-US" w:eastAsia="zh-CN"/>
              </w:rPr>
              <w:t>科目名称</w:t>
            </w:r>
          </w:p>
        </w:tc>
        <w:tc>
          <w:tcPr>
            <w:tcW w:w="1122"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000000"/>
                <w:kern w:val="0"/>
                <w:sz w:val="20"/>
                <w:szCs w:val="20"/>
                <w:highlight w:val="none"/>
                <w:lang w:val="en-US" w:eastAsia="zh-CN"/>
              </w:rPr>
            </w:pPr>
          </w:p>
          <w:p>
            <w:pPr>
              <w:widowControl/>
              <w:spacing w:line="280" w:lineRule="exact"/>
              <w:jc w:val="center"/>
              <w:rPr>
                <w:rFonts w:hint="eastAsia" w:ascii="仿宋_GB2312" w:hAnsi="宋体" w:eastAsia="仿宋_GB2312" w:cs="宋体"/>
                <w:b/>
                <w:bCs/>
                <w:color w:val="000000"/>
                <w:kern w:val="0"/>
                <w:sz w:val="20"/>
                <w:szCs w:val="20"/>
                <w:highlight w:val="none"/>
                <w:lang w:val="en-US" w:eastAsia="zh-CN"/>
              </w:rPr>
            </w:pPr>
            <w:r>
              <w:rPr>
                <w:rFonts w:hint="eastAsia" w:ascii="仿宋_GB2312" w:hAnsi="宋体" w:eastAsia="仿宋_GB2312" w:cs="宋体"/>
                <w:b/>
                <w:bCs/>
                <w:color w:val="000000"/>
                <w:kern w:val="0"/>
                <w:sz w:val="20"/>
                <w:szCs w:val="20"/>
                <w:highlight w:val="none"/>
                <w:lang w:val="en-US" w:eastAsia="zh-CN"/>
              </w:rPr>
              <w:t>合计</w:t>
            </w:r>
          </w:p>
        </w:tc>
        <w:tc>
          <w:tcPr>
            <w:tcW w:w="1126" w:type="dxa"/>
            <w:gridSpan w:val="4"/>
            <w:vMerge w:val="restart"/>
            <w:tcBorders>
              <w:top w:val="single" w:color="000000" w:sz="4" w:space="0"/>
              <w:left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000000"/>
                <w:kern w:val="0"/>
                <w:sz w:val="20"/>
                <w:szCs w:val="20"/>
                <w:highlight w:val="none"/>
                <w:lang w:val="en-US" w:eastAsia="zh-CN"/>
              </w:rPr>
            </w:pPr>
          </w:p>
          <w:p>
            <w:pPr>
              <w:widowControl/>
              <w:spacing w:line="280" w:lineRule="exact"/>
              <w:jc w:val="center"/>
              <w:rPr>
                <w:rFonts w:hint="eastAsia" w:ascii="仿宋" w:hAnsi="仿宋" w:eastAsia="仿宋" w:cs="仿宋"/>
                <w:b/>
                <w:kern w:val="0"/>
                <w:sz w:val="20"/>
                <w:szCs w:val="20"/>
                <w:highlight w:val="none"/>
                <w:vertAlign w:val="baseline"/>
                <w:lang w:val="en-US" w:eastAsia="zh-CN"/>
              </w:rPr>
            </w:pPr>
            <w:r>
              <w:rPr>
                <w:rFonts w:hint="eastAsia" w:ascii="仿宋_GB2312" w:hAnsi="宋体" w:eastAsia="仿宋_GB2312" w:cs="宋体"/>
                <w:b/>
                <w:bCs/>
                <w:color w:val="000000"/>
                <w:kern w:val="0"/>
                <w:sz w:val="20"/>
                <w:szCs w:val="20"/>
                <w:highlight w:val="none"/>
                <w:lang w:val="en-US" w:eastAsia="zh-CN"/>
              </w:rPr>
              <w:t>基本支出</w:t>
            </w:r>
          </w:p>
        </w:tc>
        <w:tc>
          <w:tcPr>
            <w:tcW w:w="1294" w:type="dxa"/>
            <w:gridSpan w:val="2"/>
            <w:vMerge w:val="restart"/>
            <w:tcBorders>
              <w:top w:val="single" w:color="000000" w:sz="4" w:space="0"/>
              <w:left w:val="single" w:color="auto" w:sz="4" w:space="0"/>
              <w:right w:val="single" w:color="000000" w:sz="4" w:space="0"/>
            </w:tcBorders>
            <w:vAlign w:val="center"/>
          </w:tcPr>
          <w:p>
            <w:pPr>
              <w:widowControl/>
              <w:spacing w:line="280" w:lineRule="exact"/>
              <w:jc w:val="center"/>
              <w:rPr>
                <w:rFonts w:hint="eastAsia" w:ascii="仿宋" w:hAnsi="仿宋" w:eastAsia="仿宋" w:cs="仿宋"/>
                <w:b/>
                <w:kern w:val="0"/>
                <w:sz w:val="20"/>
                <w:szCs w:val="20"/>
                <w:highlight w:val="none"/>
                <w:vertAlign w:val="baseline"/>
                <w:lang w:val="en-US" w:eastAsia="zh-CN"/>
              </w:rPr>
            </w:pPr>
          </w:p>
          <w:p>
            <w:pPr>
              <w:widowControl/>
              <w:spacing w:line="280" w:lineRule="exact"/>
              <w:jc w:val="center"/>
              <w:rPr>
                <w:rFonts w:hint="eastAsia" w:ascii="仿宋" w:hAnsi="仿宋" w:eastAsia="仿宋" w:cs="仿宋"/>
                <w:b/>
                <w:kern w:val="0"/>
                <w:sz w:val="20"/>
                <w:szCs w:val="20"/>
                <w:highlight w:val="none"/>
                <w:vertAlign w:val="baseline"/>
                <w:lang w:val="en-US" w:eastAsia="zh-CN"/>
              </w:rPr>
            </w:pPr>
            <w:r>
              <w:rPr>
                <w:rFonts w:hint="eastAsia" w:ascii="仿宋" w:hAnsi="仿宋" w:eastAsia="仿宋" w:cs="仿宋"/>
                <w:b/>
                <w:kern w:val="0"/>
                <w:sz w:val="20"/>
                <w:szCs w:val="20"/>
                <w:highlight w:val="none"/>
                <w:vertAlign w:val="baseli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240"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highlight w:val="none"/>
                <w:lang w:val="en-US" w:eastAsia="zh-CN"/>
              </w:rPr>
            </w:pPr>
            <w:r>
              <w:rPr>
                <w:rFonts w:hint="eastAsia" w:ascii="仿宋_GB2312" w:hAnsi="宋体" w:eastAsia="仿宋_GB2312" w:cs="宋体"/>
                <w:b/>
                <w:bCs/>
                <w:color w:val="000000"/>
                <w:kern w:val="0"/>
                <w:sz w:val="24"/>
                <w:highlight w:val="none"/>
                <w:lang w:val="en-US" w:eastAsia="zh-CN"/>
              </w:rPr>
              <w:t>类</w:t>
            </w: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highlight w:val="none"/>
                <w:lang w:val="en-US" w:eastAsia="zh-CN"/>
              </w:rPr>
            </w:pPr>
            <w:r>
              <w:rPr>
                <w:rFonts w:hint="eastAsia" w:ascii="仿宋_GB2312" w:hAnsi="宋体" w:eastAsia="仿宋_GB2312" w:cs="宋体"/>
                <w:b/>
                <w:bCs/>
                <w:color w:val="000000"/>
                <w:kern w:val="0"/>
                <w:sz w:val="24"/>
                <w:highlight w:val="none"/>
                <w:lang w:val="en-US" w:eastAsia="zh-CN"/>
              </w:rPr>
              <w:t>款</w:t>
            </w: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highlight w:val="none"/>
                <w:lang w:val="en-US" w:eastAsia="zh-CN"/>
              </w:rPr>
            </w:pPr>
            <w:r>
              <w:rPr>
                <w:rFonts w:hint="eastAsia" w:ascii="仿宋_GB2312" w:hAnsi="宋体" w:eastAsia="仿宋_GB2312" w:cs="宋体"/>
                <w:b/>
                <w:bCs/>
                <w:color w:val="000000"/>
                <w:kern w:val="0"/>
                <w:sz w:val="24"/>
                <w:highlight w:val="none"/>
                <w:lang w:val="en-US" w:eastAsia="zh-CN"/>
              </w:rPr>
              <w:t>项</w:t>
            </w:r>
          </w:p>
        </w:tc>
        <w:tc>
          <w:tcPr>
            <w:tcW w:w="184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2"/>
                <w:szCs w:val="22"/>
                <w:highlight w:val="none"/>
                <w:u w:val="none"/>
              </w:rPr>
            </w:pPr>
          </w:p>
        </w:tc>
        <w:tc>
          <w:tcPr>
            <w:tcW w:w="1124" w:type="dxa"/>
            <w:gridSpan w:val="3"/>
            <w:vMerge w:val="continue"/>
            <w:tcBorders>
              <w:left w:val="single" w:color="000000" w:sz="4" w:space="0"/>
              <w:bottom w:val="single" w:color="000000" w:sz="4" w:space="0"/>
              <w:right w:val="single" w:color="auto" w:sz="4" w:space="0"/>
            </w:tcBorders>
            <w:vAlign w:val="center"/>
          </w:tcPr>
          <w:p>
            <w:pPr>
              <w:jc w:val="center"/>
              <w:rPr>
                <w:rFonts w:hint="eastAsia" w:ascii="宋体" w:hAnsi="宋体" w:eastAsia="宋体" w:cs="宋体"/>
                <w:b/>
                <w:bCs/>
                <w:i w:val="0"/>
                <w:iCs w:val="0"/>
                <w:color w:val="FF0000"/>
                <w:sz w:val="22"/>
                <w:szCs w:val="22"/>
                <w:highlight w:val="none"/>
                <w:u w:val="none"/>
              </w:rPr>
            </w:pPr>
          </w:p>
        </w:tc>
        <w:tc>
          <w:tcPr>
            <w:tcW w:w="1123" w:type="dxa"/>
            <w:vMerge w:val="continue"/>
            <w:tcBorders>
              <w:left w:val="single" w:color="000000" w:sz="4" w:space="0"/>
              <w:bottom w:val="single" w:color="000000" w:sz="4" w:space="0"/>
              <w:right w:val="single" w:color="auto" w:sz="4" w:space="0"/>
            </w:tcBorders>
            <w:vAlign w:val="center"/>
          </w:tcPr>
          <w:p>
            <w:pPr>
              <w:jc w:val="center"/>
              <w:rPr>
                <w:rFonts w:hint="eastAsia" w:ascii="宋体" w:hAnsi="宋体" w:eastAsia="宋体" w:cs="宋体"/>
                <w:b/>
                <w:bCs/>
                <w:i w:val="0"/>
                <w:iCs w:val="0"/>
                <w:color w:val="FF0000"/>
                <w:sz w:val="22"/>
                <w:szCs w:val="22"/>
                <w:highlight w:val="none"/>
                <w:u w:val="none"/>
              </w:rPr>
            </w:pPr>
          </w:p>
        </w:tc>
        <w:tc>
          <w:tcPr>
            <w:tcW w:w="1295" w:type="dxa"/>
            <w:gridSpan w:val="3"/>
            <w:vMerge w:val="continue"/>
            <w:tcBorders>
              <w:left w:val="single" w:color="auto"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FF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82"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4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28"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8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6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6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4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8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4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60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6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4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86"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8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646"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3"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97" w:hRule="atLeast"/>
        </w:trPr>
        <w:tc>
          <w:tcPr>
            <w:tcW w:w="108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7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303"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highlight w:val="none"/>
              </w:rPr>
            </w:pPr>
          </w:p>
        </w:tc>
        <w:tc>
          <w:tcPr>
            <w:tcW w:w="184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0"/>
                <w:szCs w:val="20"/>
                <w:highlight w:val="none"/>
                <w:lang w:val="en-US" w:eastAsia="zh-CN"/>
              </w:rPr>
              <w:t>合计</w:t>
            </w:r>
          </w:p>
        </w:tc>
        <w:tc>
          <w:tcPr>
            <w:tcW w:w="112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c>
          <w:tcPr>
            <w:tcW w:w="1125" w:type="dxa"/>
            <w:gridSpan w:val="3"/>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hint="eastAsia" w:ascii="宋体" w:hAnsi="宋体" w:cs="宋体"/>
                <w:color w:val="000000"/>
                <w:kern w:val="0"/>
                <w:sz w:val="24"/>
                <w:highlight w:val="none"/>
              </w:rPr>
            </w:pPr>
          </w:p>
        </w:tc>
        <w:tc>
          <w:tcPr>
            <w:tcW w:w="1294"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hint="eastAsia" w:ascii="宋体" w:hAnsi="宋体" w:cs="宋体"/>
                <w:color w:val="000000"/>
                <w:kern w:val="0"/>
                <w:sz w:val="24"/>
                <w:highlight w:val="none"/>
              </w:rPr>
            </w:pPr>
          </w:p>
        </w:tc>
      </w:tr>
    </w:tbl>
    <w:p>
      <w:pPr>
        <w:sectPr>
          <w:cols w:space="720" w:num="1"/>
        </w:sectPr>
      </w:pPr>
      <w:r>
        <w:rPr>
          <w:rFonts w:ascii="仿宋" w:hAnsi="仿宋" w:eastAsia="仿宋" w:cs="仿宋"/>
          <w:b/>
          <w:bCs/>
          <w:position w:val="8"/>
          <w:sz w:val="20"/>
        </w:rPr>
        <w:t>皮山县政府投资交易中心2023年没有安排国有资本经营预算的支出，国有资本经营预算支出情况表为空表。</w:t>
      </w:r>
    </w:p>
    <w:p>
      <w:pPr>
        <w:keepNext w:val="0"/>
        <w:keepLines w:val="0"/>
        <w:widowControl/>
        <w:suppressLineNumbers w:val="0"/>
        <w:jc w:val="left"/>
        <w:textAlignment w:val="bottom"/>
        <w:rPr>
          <w:rFonts w:hint="default" w:ascii="宋体" w:hAnsi="宋体" w:eastAsia="宋体" w:cs="宋体"/>
          <w:i w:val="0"/>
          <w:color w:val="000000"/>
          <w:kern w:val="0"/>
          <w:sz w:val="20"/>
          <w:szCs w:val="20"/>
          <w:highlight w:val="none"/>
          <w:u w:val="none"/>
          <w:lang w:eastAsia="zh-CN" w:bidi="ar"/>
        </w:rPr>
      </w:pPr>
      <w:r>
        <w:br w:type="textWrapping"/>
      </w:r>
      <w:r>
        <w:rPr>
          <w:rFonts w:hint="eastAsia" w:ascii="宋体" w:hAnsi="宋体" w:eastAsia="宋体" w:cs="宋体"/>
          <w:i w:val="0"/>
          <w:color w:val="000000"/>
          <w:kern w:val="0"/>
          <w:sz w:val="20"/>
          <w:szCs w:val="20"/>
          <w:highlight w:val="none"/>
          <w:u w:val="none"/>
          <w:lang w:val="en-US" w:eastAsia="zh-CN" w:bidi="ar"/>
        </w:rPr>
        <w:t>表</w:t>
      </w:r>
      <w:r>
        <w:rPr>
          <w:rFonts w:hint="default" w:ascii="宋体" w:hAnsi="宋体" w:eastAsia="宋体" w:cs="宋体"/>
          <w:i w:val="0"/>
          <w:color w:val="000000"/>
          <w:kern w:val="0"/>
          <w:sz w:val="20"/>
          <w:szCs w:val="20"/>
          <w:highlight w:val="none"/>
          <w:u w:val="none"/>
          <w:lang w:eastAsia="zh-CN" w:bidi="ar"/>
        </w:rPr>
        <w:t>10</w:t>
      </w:r>
    </w:p>
    <w:p>
      <w:pPr>
        <w:widowControl/>
        <w:jc w:val="center"/>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lang w:val="en-US" w:eastAsia="zh-Hans"/>
        </w:rPr>
        <w:t>财政拨款</w:t>
      </w:r>
      <w:r>
        <w:rPr>
          <w:rFonts w:hint="eastAsia" w:ascii="仿宋_GB2312" w:hAnsi="宋体" w:eastAsia="仿宋_GB2312"/>
          <w:b/>
          <w:kern w:val="0"/>
          <w:sz w:val="32"/>
          <w:szCs w:val="32"/>
          <w:highlight w:val="none"/>
        </w:rPr>
        <w:t>“三公”经费支出情况表</w:t>
      </w:r>
    </w:p>
    <w:p>
      <w:pPr>
        <w:widowControl/>
        <w:jc w:val="left"/>
        <w:rPr>
          <w:rFonts w:ascii="仿宋_GB2312" w:hAnsi="宋体" w:eastAsia="仿宋_GB2312"/>
          <w:kern w:val="0"/>
          <w:sz w:val="24"/>
          <w:highlight w:val="none"/>
        </w:rPr>
      </w:pPr>
      <w:r>
        <w:rPr>
          <w:rFonts w:hint="eastAsia" w:ascii="仿宋_GB2312" w:hAnsi="宋体" w:eastAsia="仿宋_GB2312"/>
          <w:kern w:val="0"/>
          <w:sz w:val="24"/>
          <w:highlight w:val="none"/>
        </w:rPr>
        <w:t>编制</w:t>
      </w:r>
      <w:r>
        <w:rPr>
          <w:rFonts w:hint="eastAsia" w:ascii="仿宋_GB2312" w:hAnsi="宋体" w:eastAsia="仿宋_GB2312"/>
          <w:kern w:val="0"/>
          <w:sz w:val="24"/>
          <w:highlight w:val="none"/>
          <w:lang w:val="en-US" w:eastAsia="zh-CN"/>
        </w:rPr>
        <w:t>单位</w:t>
      </w:r>
      <w:r>
        <w:rPr>
          <w:rFonts w:hint="eastAsia" w:ascii="仿宋_GB2312" w:hAnsi="宋体" w:eastAsia="仿宋_GB2312"/>
          <w:kern w:val="0"/>
          <w:sz w:val="24"/>
          <w:highlight w:val="none"/>
        </w:rPr>
        <w:t>：</w:t>
      </w:r>
      <w:r>
        <w:rPr>
          <w:rFonts w:hint="eastAsia" w:ascii="仿宋_GB2312" w:hAnsi="宋体" w:eastAsia="仿宋_GB2312"/>
          <w:kern w:val="0"/>
          <w:sz w:val="24"/>
          <w:highlight w:val="none"/>
          <w:lang w:val="en-US" w:eastAsia="zh-CN"/>
        </w:rPr>
        <w:t>皮山县政府投资交易中心</w:t>
      </w:r>
      <w:r>
        <w:rPr>
          <w:rFonts w:hint="eastAsia" w:ascii="仿宋_GB2312" w:hAnsi="宋体" w:eastAsia="仿宋_GB2312"/>
          <w:kern w:val="0"/>
          <w:sz w:val="24"/>
          <w:highlight w:val="none"/>
        </w:rPr>
        <w:t xml:space="preserve">                              单位：万元</w:t>
      </w:r>
    </w:p>
    <w:tbl>
      <w:tblPr>
        <w:tblStyle w:val="5"/>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70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kern w:val="0"/>
                <w:sz w:val="24"/>
                <w:szCs w:val="24"/>
                <w:highlight w:val="none"/>
                <w:vertAlign w:val="baseline"/>
              </w:rPr>
            </w:pPr>
            <w:r>
              <w:rPr>
                <w:rFonts w:hint="eastAsia" w:ascii="仿宋_GB2312" w:hAnsi="宋体" w:eastAsia="仿宋_GB2312"/>
                <w:b/>
                <w:kern w:val="0"/>
                <w:sz w:val="24"/>
                <w:szCs w:val="24"/>
                <w:highlight w:val="none"/>
                <w:vertAlign w:val="baseline"/>
              </w:rPr>
              <w:t>三公支出内容</w:t>
            </w:r>
          </w:p>
        </w:tc>
        <w:tc>
          <w:tcPr>
            <w:tcW w:w="1215" w:type="dxa"/>
            <w:vMerge w:val="restart"/>
            <w:vAlign w:val="center"/>
          </w:tcPr>
          <w:p>
            <w:pPr>
              <w:widowControl/>
              <w:jc w:val="center"/>
              <w:outlineLvl w:val="1"/>
              <w:rPr>
                <w:rFonts w:hint="eastAsia" w:ascii="仿宋_GB2312" w:hAnsi="宋体" w:eastAsia="仿宋_GB2312"/>
                <w:b/>
                <w:kern w:val="0"/>
                <w:sz w:val="24"/>
                <w:szCs w:val="24"/>
                <w:highlight w:val="none"/>
                <w:vertAlign w:val="baseline"/>
                <w:lang w:val="en-US" w:eastAsia="zh-Hans"/>
              </w:rPr>
            </w:pPr>
            <w:r>
              <w:rPr>
                <w:rFonts w:hint="eastAsia" w:ascii="仿宋_GB2312" w:hAnsi="宋体" w:eastAsia="仿宋_GB2312"/>
                <w:b/>
                <w:kern w:val="0"/>
                <w:sz w:val="24"/>
                <w:szCs w:val="24"/>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kern w:val="0"/>
                <w:sz w:val="24"/>
                <w:szCs w:val="24"/>
                <w:highlight w:val="none"/>
                <w:vertAlign w:val="baseline"/>
                <w:lang w:val="en-US" w:eastAsia="zh-Hans"/>
              </w:rPr>
            </w:pPr>
            <w:r>
              <w:rPr>
                <w:rFonts w:hint="eastAsia" w:ascii="仿宋_GB2312" w:hAnsi="宋体" w:eastAsia="仿宋_GB2312"/>
                <w:b/>
                <w:kern w:val="0"/>
                <w:sz w:val="24"/>
                <w:szCs w:val="24"/>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kern w:val="0"/>
                <w:sz w:val="24"/>
                <w:szCs w:val="24"/>
                <w:highlight w:val="none"/>
                <w:vertAlign w:val="baseline"/>
              </w:rPr>
            </w:pPr>
          </w:p>
        </w:tc>
        <w:tc>
          <w:tcPr>
            <w:tcW w:w="1215" w:type="dxa"/>
            <w:vMerge w:val="continue"/>
            <w:vAlign w:val="top"/>
          </w:tcPr>
          <w:p>
            <w:pPr>
              <w:widowControl/>
              <w:outlineLvl w:val="1"/>
              <w:rPr>
                <w:rFonts w:hint="eastAsia" w:ascii="仿宋_GB2312" w:hAnsi="宋体" w:eastAsia="仿宋_GB2312"/>
                <w:b/>
                <w:kern w:val="0"/>
                <w:sz w:val="24"/>
                <w:szCs w:val="24"/>
                <w:highlight w:val="none"/>
                <w:vertAlign w:val="baseline"/>
              </w:rPr>
            </w:pPr>
          </w:p>
        </w:tc>
        <w:tc>
          <w:tcPr>
            <w:tcW w:w="1314" w:type="dxa"/>
            <w:vAlign w:val="center"/>
          </w:tcPr>
          <w:p>
            <w:pPr>
              <w:widowControl/>
              <w:jc w:val="center"/>
              <w:outlineLvl w:val="1"/>
              <w:rPr>
                <w:rFonts w:hint="eastAsia" w:ascii="仿宋_GB2312" w:hAnsi="宋体" w:eastAsia="仿宋_GB2312"/>
                <w:b/>
                <w:kern w:val="0"/>
                <w:sz w:val="24"/>
                <w:szCs w:val="24"/>
                <w:highlight w:val="none"/>
                <w:vertAlign w:val="baseline"/>
                <w:lang w:val="en-US" w:eastAsia="zh-Hans"/>
              </w:rPr>
            </w:pPr>
            <w:r>
              <w:rPr>
                <w:rFonts w:hint="eastAsia" w:ascii="仿宋_GB2312" w:hAnsi="宋体" w:eastAsia="仿宋_GB2312"/>
                <w:b/>
                <w:kern w:val="0"/>
                <w:sz w:val="24"/>
                <w:szCs w:val="24"/>
                <w:highlight w:val="none"/>
                <w:vertAlign w:val="baseline"/>
                <w:lang w:val="en-US" w:eastAsia="zh-Hans"/>
              </w:rPr>
              <w:t>一般公共预算</w:t>
            </w:r>
          </w:p>
        </w:tc>
        <w:tc>
          <w:tcPr>
            <w:tcW w:w="1706" w:type="dxa"/>
            <w:vAlign w:val="center"/>
          </w:tcPr>
          <w:p>
            <w:pPr>
              <w:widowControl/>
              <w:jc w:val="center"/>
              <w:outlineLvl w:val="1"/>
              <w:rPr>
                <w:rFonts w:hint="eastAsia" w:ascii="仿宋_GB2312" w:hAnsi="宋体" w:eastAsia="仿宋_GB2312"/>
                <w:b/>
                <w:kern w:val="0"/>
                <w:sz w:val="24"/>
                <w:szCs w:val="24"/>
                <w:highlight w:val="none"/>
                <w:vertAlign w:val="baseline"/>
              </w:rPr>
            </w:pPr>
            <w:r>
              <w:rPr>
                <w:rFonts w:hint="eastAsia" w:ascii="仿宋_GB2312" w:hAnsi="宋体" w:eastAsia="仿宋_GB2312"/>
                <w:b/>
                <w:kern w:val="0"/>
                <w:sz w:val="24"/>
                <w:szCs w:val="24"/>
                <w:highlight w:val="none"/>
                <w:vertAlign w:val="baseline"/>
              </w:rPr>
              <w:t>政府性基金</w:t>
            </w:r>
          </w:p>
        </w:tc>
        <w:tc>
          <w:tcPr>
            <w:tcW w:w="1510" w:type="dxa"/>
            <w:vAlign w:val="center"/>
          </w:tcPr>
          <w:p>
            <w:pPr>
              <w:widowControl/>
              <w:jc w:val="center"/>
              <w:outlineLvl w:val="1"/>
              <w:rPr>
                <w:rFonts w:hint="eastAsia" w:ascii="仿宋_GB2312" w:hAnsi="宋体" w:eastAsia="仿宋_GB2312"/>
                <w:b/>
                <w:kern w:val="0"/>
                <w:sz w:val="24"/>
                <w:szCs w:val="24"/>
                <w:highlight w:val="none"/>
                <w:vertAlign w:val="baseline"/>
              </w:rPr>
            </w:pPr>
            <w:r>
              <w:rPr>
                <w:rFonts w:hint="eastAsia" w:ascii="仿宋_GB2312" w:hAnsi="宋体" w:eastAsia="仿宋_GB2312"/>
                <w:b/>
                <w:kern w:val="0"/>
                <w:sz w:val="24"/>
                <w:szCs w:val="24"/>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合计</w:t>
            </w:r>
          </w:p>
        </w:tc>
        <w:tc>
          <w:tcPr>
            <w:tcW w:w="1215" w:type="dxa"/>
            <w:shd w:val="clear" w:color="auto" w:fill="auto"/>
            <w:vAlign w:val="center"/>
          </w:tcPr>
          <w:p>
            <w:pPr>
              <w:ind w:left="30" w:leftChars="0"/>
              <w:jc w:val="center"/>
              <w:rPr>
                <w:rFonts w:hint="eastAsia" w:ascii="黑体" w:hAnsi="黑体" w:eastAsia="黑体" w:cs="黑体"/>
                <w:position w:val="8"/>
                <w:sz w:val="16"/>
              </w:rPr>
            </w:pPr>
            <w:r>
              <w:rPr>
                <w:rFonts w:ascii="黑体" w:hAnsi="黑体" w:eastAsia="黑体" w:cs="黑体"/>
                <w:position w:val="8"/>
                <w:sz w:val="16"/>
              </w:rPr>
              <w:t>2.00</w:t>
            </w:r>
          </w:p>
        </w:tc>
        <w:tc>
          <w:tcPr>
            <w:tcW w:w="1314" w:type="dxa"/>
            <w:shd w:val="clear" w:color="auto" w:fill="auto"/>
            <w:vAlign w:val="center"/>
          </w:tcPr>
          <w:p>
            <w:pPr>
              <w:ind w:left="30" w:leftChars="0"/>
              <w:jc w:val="center"/>
              <w:rPr>
                <w:rFonts w:hint="eastAsia" w:ascii="黑体" w:hAnsi="黑体" w:eastAsia="黑体" w:cs="黑体"/>
                <w:position w:val="8"/>
                <w:sz w:val="16"/>
              </w:rPr>
            </w:pPr>
            <w:r>
              <w:rPr>
                <w:rFonts w:ascii="黑体" w:hAnsi="黑体" w:eastAsia="黑体" w:cs="黑体"/>
                <w:position w:val="8"/>
                <w:sz w:val="16"/>
              </w:rPr>
              <w:t>2.00</w:t>
            </w:r>
          </w:p>
        </w:tc>
        <w:tc>
          <w:tcPr>
            <w:tcW w:w="1706" w:type="dxa"/>
            <w:vAlign w:val="top"/>
          </w:tcPr>
          <w:p>
            <w:pPr>
              <w:widowControl/>
              <w:outlineLvl w:val="1"/>
              <w:rPr>
                <w:rFonts w:hint="eastAsia" w:ascii="仿宋_GB2312" w:hAnsi="宋体" w:eastAsia="仿宋_GB2312"/>
                <w:b/>
                <w:kern w:val="0"/>
                <w:sz w:val="28"/>
                <w:szCs w:val="32"/>
                <w:highlight w:val="none"/>
                <w:vertAlign w:val="baseline"/>
              </w:rPr>
            </w:pPr>
          </w:p>
        </w:tc>
        <w:tc>
          <w:tcPr>
            <w:tcW w:w="1510" w:type="dxa"/>
            <w:vAlign w:val="top"/>
          </w:tcPr>
          <w:p>
            <w:pPr>
              <w:widowControl/>
              <w:outlineLvl w:val="1"/>
              <w:rPr>
                <w:rFonts w:hint="eastAsia" w:ascii="仿宋_GB2312" w:hAnsi="宋体" w:eastAsia="仿宋_GB2312"/>
                <w:b/>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因公出国（境）费</w:t>
            </w:r>
          </w:p>
        </w:tc>
        <w:tc>
          <w:tcPr>
            <w:tcW w:w="1215" w:type="dxa"/>
            <w:shd w:val="clear" w:color="auto" w:fill="auto"/>
            <w:vAlign w:val="center"/>
          </w:tcPr>
          <w:p>
            <w:pPr>
              <w:ind w:left="30" w:leftChars="0"/>
              <w:jc w:val="center"/>
              <w:rPr>
                <w:rFonts w:hint="eastAsia" w:ascii="黑体" w:hAnsi="黑体" w:eastAsia="黑体" w:cs="黑体"/>
                <w:position w:val="8"/>
                <w:sz w:val="16"/>
              </w:rPr>
            </w:pPr>
          </w:p>
        </w:tc>
        <w:tc>
          <w:tcPr>
            <w:tcW w:w="1314" w:type="dxa"/>
            <w:shd w:val="clear" w:color="auto" w:fill="auto"/>
            <w:vAlign w:val="center"/>
          </w:tcPr>
          <w:p>
            <w:pPr>
              <w:ind w:left="30" w:leftChars="0"/>
              <w:jc w:val="center"/>
              <w:rPr>
                <w:rFonts w:hint="eastAsia" w:ascii="黑体" w:hAnsi="黑体" w:eastAsia="黑体" w:cs="黑体"/>
                <w:position w:val="8"/>
                <w:sz w:val="16"/>
              </w:rPr>
            </w:pPr>
          </w:p>
        </w:tc>
        <w:tc>
          <w:tcPr>
            <w:tcW w:w="1706" w:type="dxa"/>
            <w:vAlign w:val="top"/>
          </w:tcPr>
          <w:p>
            <w:pPr>
              <w:widowControl/>
              <w:outlineLvl w:val="1"/>
              <w:rPr>
                <w:rFonts w:hint="eastAsia" w:ascii="仿宋_GB2312" w:hAnsi="宋体" w:eastAsia="仿宋_GB2312"/>
                <w:b/>
                <w:kern w:val="0"/>
                <w:sz w:val="28"/>
                <w:szCs w:val="32"/>
                <w:highlight w:val="none"/>
                <w:vertAlign w:val="baseline"/>
              </w:rPr>
            </w:pPr>
          </w:p>
        </w:tc>
        <w:tc>
          <w:tcPr>
            <w:tcW w:w="1510" w:type="dxa"/>
            <w:vAlign w:val="top"/>
          </w:tcPr>
          <w:p>
            <w:pPr>
              <w:widowControl/>
              <w:outlineLvl w:val="1"/>
              <w:rPr>
                <w:rFonts w:hint="eastAsia" w:ascii="仿宋_GB2312" w:hAnsi="宋体" w:eastAsia="仿宋_GB2312"/>
                <w:b/>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公务接待费</w:t>
            </w:r>
          </w:p>
        </w:tc>
        <w:tc>
          <w:tcPr>
            <w:tcW w:w="1215" w:type="dxa"/>
            <w:shd w:val="clear" w:color="auto" w:fill="auto"/>
            <w:vAlign w:val="center"/>
          </w:tcPr>
          <w:p>
            <w:pPr>
              <w:ind w:left="30" w:leftChars="0"/>
              <w:jc w:val="center"/>
              <w:rPr>
                <w:rFonts w:hint="eastAsia" w:ascii="黑体" w:hAnsi="黑体" w:eastAsia="黑体" w:cs="黑体"/>
                <w:position w:val="8"/>
                <w:sz w:val="16"/>
              </w:rPr>
            </w:pPr>
          </w:p>
        </w:tc>
        <w:tc>
          <w:tcPr>
            <w:tcW w:w="1314" w:type="dxa"/>
            <w:shd w:val="clear" w:color="auto" w:fill="auto"/>
            <w:vAlign w:val="center"/>
          </w:tcPr>
          <w:p>
            <w:pPr>
              <w:ind w:left="30" w:leftChars="0"/>
              <w:jc w:val="center"/>
              <w:rPr>
                <w:rFonts w:hint="eastAsia" w:ascii="黑体" w:hAnsi="黑体" w:eastAsia="黑体" w:cs="黑体"/>
                <w:position w:val="8"/>
                <w:sz w:val="16"/>
              </w:rPr>
            </w:pPr>
          </w:p>
        </w:tc>
        <w:tc>
          <w:tcPr>
            <w:tcW w:w="1706" w:type="dxa"/>
            <w:vAlign w:val="top"/>
          </w:tcPr>
          <w:p>
            <w:pPr>
              <w:widowControl/>
              <w:outlineLvl w:val="1"/>
              <w:rPr>
                <w:rFonts w:hint="eastAsia" w:ascii="仿宋_GB2312" w:hAnsi="宋体" w:eastAsia="仿宋_GB2312"/>
                <w:b/>
                <w:kern w:val="0"/>
                <w:sz w:val="28"/>
                <w:szCs w:val="32"/>
                <w:highlight w:val="none"/>
                <w:vertAlign w:val="baseline"/>
              </w:rPr>
            </w:pPr>
          </w:p>
        </w:tc>
        <w:tc>
          <w:tcPr>
            <w:tcW w:w="1510" w:type="dxa"/>
            <w:vAlign w:val="top"/>
          </w:tcPr>
          <w:p>
            <w:pPr>
              <w:widowControl/>
              <w:outlineLvl w:val="1"/>
              <w:rPr>
                <w:rFonts w:hint="eastAsia" w:ascii="仿宋_GB2312" w:hAnsi="宋体" w:eastAsia="仿宋_GB2312"/>
                <w:b/>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公务用车购置及运行费</w:t>
            </w:r>
          </w:p>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（小计）</w:t>
            </w:r>
          </w:p>
        </w:tc>
        <w:tc>
          <w:tcPr>
            <w:tcW w:w="1215" w:type="dxa"/>
            <w:shd w:val="clear" w:color="auto" w:fill="auto"/>
            <w:vAlign w:val="center"/>
          </w:tcPr>
          <w:p>
            <w:pPr>
              <w:ind w:left="30" w:leftChars="0"/>
              <w:jc w:val="center"/>
              <w:rPr>
                <w:rFonts w:hint="eastAsia" w:ascii="黑体" w:hAnsi="黑体" w:eastAsia="黑体" w:cs="黑体"/>
                <w:position w:val="8"/>
                <w:sz w:val="16"/>
              </w:rPr>
            </w:pPr>
            <w:r>
              <w:rPr>
                <w:rFonts w:ascii="黑体" w:hAnsi="黑体" w:eastAsia="黑体" w:cs="黑体"/>
                <w:position w:val="8"/>
                <w:sz w:val="16"/>
              </w:rPr>
              <w:t>2.00</w:t>
            </w:r>
          </w:p>
        </w:tc>
        <w:tc>
          <w:tcPr>
            <w:tcW w:w="1314" w:type="dxa"/>
            <w:shd w:val="clear" w:color="auto" w:fill="auto"/>
            <w:vAlign w:val="center"/>
          </w:tcPr>
          <w:p>
            <w:pPr>
              <w:ind w:left="30" w:leftChars="0"/>
              <w:jc w:val="center"/>
              <w:rPr>
                <w:rFonts w:hint="eastAsia" w:ascii="黑体" w:hAnsi="黑体" w:eastAsia="黑体" w:cs="黑体"/>
                <w:position w:val="8"/>
                <w:sz w:val="16"/>
              </w:rPr>
            </w:pPr>
            <w:r>
              <w:rPr>
                <w:rFonts w:ascii="黑体" w:hAnsi="黑体" w:eastAsia="黑体" w:cs="黑体"/>
                <w:position w:val="8"/>
                <w:sz w:val="16"/>
              </w:rPr>
              <w:t>2.00</w:t>
            </w:r>
          </w:p>
        </w:tc>
        <w:tc>
          <w:tcPr>
            <w:tcW w:w="1706" w:type="dxa"/>
            <w:vAlign w:val="top"/>
          </w:tcPr>
          <w:p>
            <w:pPr>
              <w:widowControl/>
              <w:outlineLvl w:val="1"/>
              <w:rPr>
                <w:rFonts w:hint="eastAsia" w:ascii="仿宋_GB2312" w:hAnsi="宋体" w:eastAsia="仿宋_GB2312"/>
                <w:b/>
                <w:kern w:val="0"/>
                <w:sz w:val="28"/>
                <w:szCs w:val="32"/>
                <w:highlight w:val="none"/>
                <w:vertAlign w:val="baseline"/>
              </w:rPr>
            </w:pPr>
          </w:p>
        </w:tc>
        <w:tc>
          <w:tcPr>
            <w:tcW w:w="1510" w:type="dxa"/>
            <w:vAlign w:val="top"/>
          </w:tcPr>
          <w:p>
            <w:pPr>
              <w:widowControl/>
              <w:outlineLvl w:val="1"/>
              <w:rPr>
                <w:rFonts w:hint="eastAsia" w:ascii="仿宋_GB2312" w:hAnsi="宋体" w:eastAsia="仿宋_GB2312"/>
                <w:b/>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其中：公务用车购置费</w:t>
            </w:r>
          </w:p>
        </w:tc>
        <w:tc>
          <w:tcPr>
            <w:tcW w:w="1215" w:type="dxa"/>
            <w:shd w:val="clear" w:color="auto" w:fill="auto"/>
            <w:vAlign w:val="center"/>
          </w:tcPr>
          <w:p>
            <w:pPr>
              <w:ind w:left="30" w:leftChars="0"/>
              <w:jc w:val="center"/>
              <w:rPr>
                <w:rFonts w:hint="eastAsia" w:ascii="黑体" w:hAnsi="黑体" w:eastAsia="黑体" w:cs="黑体"/>
                <w:position w:val="8"/>
                <w:sz w:val="16"/>
              </w:rPr>
            </w:pPr>
          </w:p>
        </w:tc>
        <w:tc>
          <w:tcPr>
            <w:tcW w:w="1314" w:type="dxa"/>
            <w:shd w:val="clear" w:color="auto" w:fill="auto"/>
            <w:vAlign w:val="center"/>
          </w:tcPr>
          <w:p>
            <w:pPr>
              <w:ind w:left="30" w:leftChars="0"/>
              <w:jc w:val="center"/>
              <w:rPr>
                <w:rFonts w:hint="eastAsia" w:ascii="黑体" w:hAnsi="黑体" w:eastAsia="黑体" w:cs="黑体"/>
                <w:position w:val="8"/>
                <w:sz w:val="16"/>
              </w:rPr>
            </w:pPr>
          </w:p>
        </w:tc>
        <w:tc>
          <w:tcPr>
            <w:tcW w:w="1706" w:type="dxa"/>
            <w:vAlign w:val="top"/>
          </w:tcPr>
          <w:p>
            <w:pPr>
              <w:widowControl/>
              <w:outlineLvl w:val="1"/>
              <w:rPr>
                <w:rFonts w:hint="eastAsia" w:ascii="仿宋_GB2312" w:hAnsi="宋体" w:eastAsia="仿宋_GB2312"/>
                <w:b/>
                <w:kern w:val="0"/>
                <w:sz w:val="28"/>
                <w:szCs w:val="32"/>
                <w:highlight w:val="none"/>
                <w:vertAlign w:val="baseline"/>
              </w:rPr>
            </w:pPr>
          </w:p>
        </w:tc>
        <w:tc>
          <w:tcPr>
            <w:tcW w:w="1510" w:type="dxa"/>
            <w:vAlign w:val="top"/>
          </w:tcPr>
          <w:p>
            <w:pPr>
              <w:widowControl/>
              <w:outlineLvl w:val="1"/>
              <w:rPr>
                <w:rFonts w:hint="eastAsia" w:ascii="仿宋_GB2312" w:hAnsi="宋体" w:eastAsia="仿宋_GB2312"/>
                <w:b/>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ind w:left="30" w:leftChars="0"/>
              <w:jc w:val="center"/>
              <w:rPr>
                <w:rFonts w:hint="eastAsia" w:ascii="黑体" w:hAnsi="黑体" w:eastAsia="黑体" w:cs="黑体"/>
                <w:position w:val="8"/>
                <w:sz w:val="16"/>
              </w:rPr>
            </w:pPr>
            <w:r>
              <w:rPr>
                <w:rFonts w:hint="eastAsia" w:ascii="黑体" w:hAnsi="黑体" w:eastAsia="黑体" w:cs="黑体"/>
                <w:position w:val="8"/>
                <w:sz w:val="16"/>
              </w:rPr>
              <w:t>公务用车运行费</w:t>
            </w:r>
          </w:p>
        </w:tc>
        <w:tc>
          <w:tcPr>
            <w:tcW w:w="1215" w:type="dxa"/>
            <w:shd w:val="clear" w:color="auto" w:fill="auto"/>
            <w:vAlign w:val="center"/>
          </w:tcPr>
          <w:p>
            <w:pPr>
              <w:ind w:left="30" w:leftChars="0"/>
              <w:jc w:val="center"/>
              <w:rPr>
                <w:rFonts w:hint="eastAsia" w:ascii="黑体" w:hAnsi="黑体" w:eastAsia="黑体" w:cs="黑体"/>
                <w:position w:val="8"/>
                <w:sz w:val="16"/>
              </w:rPr>
            </w:pPr>
            <w:r>
              <w:rPr>
                <w:rFonts w:ascii="黑体" w:hAnsi="黑体" w:eastAsia="黑体" w:cs="黑体"/>
                <w:position w:val="8"/>
                <w:sz w:val="16"/>
              </w:rPr>
              <w:t>2.00</w:t>
            </w:r>
          </w:p>
        </w:tc>
        <w:tc>
          <w:tcPr>
            <w:tcW w:w="1314" w:type="dxa"/>
            <w:shd w:val="clear" w:color="auto" w:fill="auto"/>
            <w:vAlign w:val="center"/>
          </w:tcPr>
          <w:p>
            <w:pPr>
              <w:ind w:left="30" w:leftChars="0"/>
              <w:jc w:val="center"/>
              <w:rPr>
                <w:rFonts w:hint="eastAsia" w:ascii="黑体" w:hAnsi="黑体" w:eastAsia="黑体" w:cs="黑体"/>
                <w:position w:val="8"/>
                <w:sz w:val="16"/>
              </w:rPr>
            </w:pPr>
            <w:r>
              <w:rPr>
                <w:rFonts w:ascii="黑体" w:hAnsi="黑体" w:eastAsia="黑体" w:cs="黑体"/>
                <w:position w:val="8"/>
                <w:sz w:val="16"/>
              </w:rPr>
              <w:t>2.00</w:t>
            </w:r>
          </w:p>
        </w:tc>
        <w:tc>
          <w:tcPr>
            <w:tcW w:w="1706" w:type="dxa"/>
            <w:vAlign w:val="top"/>
          </w:tcPr>
          <w:p>
            <w:pPr>
              <w:widowControl/>
              <w:outlineLvl w:val="1"/>
              <w:rPr>
                <w:rFonts w:hint="eastAsia" w:ascii="仿宋_GB2312" w:hAnsi="宋体" w:eastAsia="仿宋_GB2312"/>
                <w:b/>
                <w:kern w:val="0"/>
                <w:sz w:val="28"/>
                <w:szCs w:val="32"/>
                <w:highlight w:val="none"/>
                <w:vertAlign w:val="baseline"/>
              </w:rPr>
            </w:pPr>
          </w:p>
        </w:tc>
        <w:tc>
          <w:tcPr>
            <w:tcW w:w="1510" w:type="dxa"/>
            <w:vAlign w:val="top"/>
          </w:tcPr>
          <w:p>
            <w:pPr>
              <w:widowControl/>
              <w:outlineLvl w:val="1"/>
              <w:rPr>
                <w:rFonts w:hint="eastAsia" w:ascii="仿宋_GB2312" w:hAnsi="宋体" w:eastAsia="仿宋_GB2312"/>
                <w:b/>
                <w:kern w:val="0"/>
                <w:sz w:val="28"/>
                <w:szCs w:val="32"/>
                <w:highlight w:val="none"/>
                <w:vertAlign w:val="baseline"/>
              </w:rPr>
            </w:pPr>
          </w:p>
        </w:tc>
      </w:tr>
    </w:tbl>
    <w:p>
      <w:pPr>
        <w:sectPr>
          <w:cols w:space="720" w:num="1"/>
        </w:sectPr>
      </w:pPr>
    </w:p>
    <w:p>
      <w:pPr>
        <w:ind w:left="200" w:right="200" w:firstLine="500"/>
        <w:jc w:val="center"/>
        <w:rPr>
          <w:sz w:val="40"/>
          <w:szCs w:val="40"/>
        </w:rPr>
      </w:pPr>
      <w:r>
        <w:rPr>
          <w:rFonts w:ascii="黑体" w:hAnsi="黑体" w:eastAsia="黑体" w:cs="黑体"/>
          <w:position w:val="30"/>
          <w:sz w:val="40"/>
          <w:szCs w:val="40"/>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黑体" w:hAnsi="黑体" w:eastAsia="黑体" w:cs="黑体"/>
          <w:b w:val="0"/>
          <w:bCs w:val="0"/>
          <w:position w:val="20"/>
          <w:sz w:val="32"/>
          <w:szCs w:val="32"/>
        </w:rPr>
        <w:t>一、关于皮山县政府投资交易中心2023年收支预算情况的总体说明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按照全口径预算的原则，皮山县政府投资交易中心2023年所有收入和支出均纳入单位预算管理。收支总预算121.9万元。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二、关于皮山县政府投资交易中心2023年收入预算情况说明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皮山县政府投资交易中心收入预算121.9</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一般公共预算115.65万元，占94.87%，比上年预算减少13.23万元，下降</w:t>
      </w:r>
      <w:r>
        <w:rPr>
          <w:rFonts w:hint="eastAsia" w:ascii="仿宋" w:hAnsi="仿宋" w:eastAsia="仿宋" w:cs="仿宋"/>
          <w:position w:val="10"/>
          <w:sz w:val="32"/>
          <w:szCs w:val="32"/>
          <w:lang w:val="en-US" w:eastAsia="zh-CN"/>
        </w:rPr>
        <w:t>10.27</w:t>
      </w:r>
      <w:r>
        <w:rPr>
          <w:rFonts w:ascii="仿宋" w:hAnsi="仿宋" w:eastAsia="仿宋" w:cs="仿宋"/>
          <w:position w:val="10"/>
          <w:sz w:val="32"/>
          <w:szCs w:val="32"/>
        </w:rPr>
        <w:t>%，主要原因是上年津贴补贴工资预算数重复，本年度没有。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财政拨款结转6.25万元，占5.13%，比上年预算增加6.25万元，增长100.00%，主要原因是</w:t>
      </w:r>
      <w:r>
        <w:rPr>
          <w:rFonts w:hint="eastAsia" w:ascii="仿宋" w:hAnsi="仿宋" w:eastAsia="仿宋" w:cs="仿宋"/>
          <w:position w:val="10"/>
          <w:sz w:val="32"/>
          <w:szCs w:val="32"/>
          <w:lang w:eastAsia="zh-CN"/>
        </w:rPr>
        <w:t>上</w:t>
      </w:r>
      <w:r>
        <w:rPr>
          <w:rFonts w:ascii="仿宋" w:hAnsi="仿宋" w:eastAsia="仿宋" w:cs="仿宋"/>
          <w:position w:val="10"/>
          <w:sz w:val="32"/>
          <w:szCs w:val="32"/>
        </w:rPr>
        <w:t>年度项目资金财政拨款结转未在</w:t>
      </w:r>
      <w:r>
        <w:rPr>
          <w:rFonts w:hint="eastAsia" w:ascii="仿宋" w:hAnsi="仿宋" w:eastAsia="仿宋" w:cs="仿宋"/>
          <w:position w:val="10"/>
          <w:sz w:val="32"/>
          <w:szCs w:val="32"/>
          <w:lang w:eastAsia="zh-CN"/>
        </w:rPr>
        <w:t>当年</w:t>
      </w:r>
      <w:r>
        <w:rPr>
          <w:rFonts w:ascii="仿宋" w:hAnsi="仿宋" w:eastAsia="仿宋" w:cs="仿宋"/>
          <w:position w:val="10"/>
          <w:sz w:val="32"/>
          <w:szCs w:val="32"/>
        </w:rPr>
        <w:t>预算数中体现。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黑体" w:hAnsi="黑体" w:eastAsia="黑体" w:cs="黑体"/>
          <w:b w:val="0"/>
          <w:bCs w:val="0"/>
          <w:position w:val="20"/>
          <w:sz w:val="32"/>
          <w:szCs w:val="32"/>
        </w:rPr>
        <w:t>三、关于皮山县政府投资交易中心2023年支出预算情况说明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皮山县政府投资交易中心2023年支出预算121.9万元，其中：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基本支出115.65万元，占94.87%，比上年预算减少13.23万元，下降</w:t>
      </w:r>
      <w:r>
        <w:rPr>
          <w:rFonts w:hint="eastAsia" w:ascii="仿宋" w:hAnsi="仿宋" w:eastAsia="仿宋" w:cs="仿宋"/>
          <w:position w:val="10"/>
          <w:sz w:val="32"/>
          <w:szCs w:val="32"/>
          <w:lang w:val="en-US" w:eastAsia="zh-CN"/>
        </w:rPr>
        <w:t>10.27</w:t>
      </w:r>
      <w:r>
        <w:rPr>
          <w:rFonts w:ascii="仿宋" w:hAnsi="仿宋" w:eastAsia="仿宋" w:cs="仿宋"/>
          <w:position w:val="10"/>
          <w:sz w:val="32"/>
          <w:szCs w:val="32"/>
        </w:rPr>
        <w:t>%，主要原因是上年津贴补贴工资预算数重复，本年度没有。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项目支出6.25万元，占5.13%，比上年预算增加6.25万元，增长100.00%，主要原因是</w:t>
      </w:r>
      <w:r>
        <w:rPr>
          <w:rFonts w:hint="eastAsia" w:ascii="仿宋" w:hAnsi="仿宋" w:eastAsia="仿宋" w:cs="仿宋"/>
          <w:position w:val="10"/>
          <w:sz w:val="32"/>
          <w:szCs w:val="32"/>
          <w:lang w:eastAsia="zh-CN"/>
        </w:rPr>
        <w:t>上</w:t>
      </w:r>
      <w:r>
        <w:rPr>
          <w:rFonts w:ascii="仿宋" w:hAnsi="仿宋" w:eastAsia="仿宋" w:cs="仿宋"/>
          <w:position w:val="10"/>
          <w:sz w:val="32"/>
          <w:szCs w:val="32"/>
        </w:rPr>
        <w:t>年度项目资金财政拨款结转未在</w:t>
      </w:r>
      <w:r>
        <w:rPr>
          <w:rFonts w:hint="eastAsia" w:ascii="仿宋" w:hAnsi="仿宋" w:eastAsia="仿宋" w:cs="仿宋"/>
          <w:position w:val="10"/>
          <w:sz w:val="32"/>
          <w:szCs w:val="32"/>
          <w:lang w:eastAsia="zh-CN"/>
        </w:rPr>
        <w:t>当年</w:t>
      </w:r>
      <w:r>
        <w:rPr>
          <w:rFonts w:ascii="仿宋" w:hAnsi="仿宋" w:eastAsia="仿宋" w:cs="仿宋"/>
          <w:position w:val="10"/>
          <w:sz w:val="32"/>
          <w:szCs w:val="32"/>
        </w:rPr>
        <w:t>预算数中体现。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四、关于皮山县政府投资交易中心2023年财政拨款收支预算情况的总体说明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2023年财政拨款收支总预算115.65万元。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收入预算包括：一般公共预算拨款115.65万元。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一般公共预算支出包括：一般公共服务支出98.93万元，主要用于工资福利和单位运转支出。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社会保障和就业支出16.72万元，主要用于社保缴纳支出。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五、关于皮山县政府投资交易中心2023年一般公共预算当年拨款情况说明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皮山县政府投资交易中心2023年一般公共预算拨款合计115.65万元，其中：基本支出115.65万元，比上年预算减少13.23万元，下降</w:t>
      </w:r>
      <w:r>
        <w:rPr>
          <w:rFonts w:hint="eastAsia" w:ascii="仿宋" w:hAnsi="仿宋" w:eastAsia="仿宋" w:cs="仿宋"/>
          <w:position w:val="10"/>
          <w:sz w:val="32"/>
          <w:szCs w:val="32"/>
          <w:lang w:val="en-US" w:eastAsia="zh-CN"/>
        </w:rPr>
        <w:t>10.27</w:t>
      </w:r>
      <w:r>
        <w:rPr>
          <w:rFonts w:ascii="仿宋" w:hAnsi="仿宋" w:eastAsia="仿宋" w:cs="仿宋"/>
          <w:position w:val="10"/>
          <w:sz w:val="32"/>
          <w:szCs w:val="32"/>
        </w:rPr>
        <w:t>%。主要原因是上年津贴补贴工资预算数重复，本年度没有。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项目支出0万元，比上年预算增加0万元，增长0%。主要原因是本单位没有项目。</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1.一般公共服务支出（类）98.93万元，占85.54%。</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2.社会保障和就业支出（类）16.72万元，占14.46%。</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1.一般公共服务支出（类）政府办公厅（室）及相关机构事务（款）事业运行（项）:2023年预算数为98.93万元，比上年预算数减少15.92万元，下降13.86%，主要原因是上年津贴补贴工资预算数重复，本年度没有。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11.15万元，比上年预算数减少2.88万元，下降20.53%，主要原因是上年预算数中包含职业年金在内，本年度职业年金预算单独列支。</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5.57万元，比上年预算数增加5.57万元，增长100.00%，主要原因是上年职业年金预算在养老保险缴费预算数中，本年度职业年金预算单独列支。</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六、关于皮山县政府投资交易中心2023年一般公共预算基本支出情况说明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一般公共预算基本支出115.65万元，其中：人员经费109.41万元，主要包括基本工资、津贴补贴、奖金、绩效工资、机关事业单位基本养老保险缴费、职业年金缴费、城镇职工基本医疗保险缴费、其他社会保障缴费、住房公积金、其他工资福利支出、取暖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公用经费6.24万元，主要包括办公费、取暖费、公务用车运行维护费。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七、关于皮山县政府投资交易中心2023年一般公共预算项目支出情况说明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八、关于皮山县政府投资交易中心2023年政府性基金预算拨款情况说明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九、关于皮山县政府投资交易中心2023年国有资本经营预算拨款情况说明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十、关于皮山县政府投资交易中心2023年财政拨款“三公”经费预算情况说明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皮山县政府投资交易中心2023年财政拨款“三公”经费数为2万元，其中：因公出国（境）费0万元，公务用车购置费0万元，公务用车运行费2万元，公务接待费0万元。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本单位没有此业务。公务用车购置费增加0万元，增长0%，主要原因是本单位没有此业务。公务用车运行费增加0万元，增长0%，主要原因是本单位本年度此业务没有增减。公务接待费增加0万元，增长0%，主要原因是本单位没有此业务。</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2023年，皮山县政府投资交易中心本级及下属0家行政单位和1家事业单位的机关运行经费财政拨款预算6.24万元，比上年预算增加2.52万元，增长67.74%。主要原因是本年度工作人员增加。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2023年，皮山县政府投资交易中心政府采购预算0万元，其中：政府采购货物预算0万元，政府采购工程预算0万元，政府采购服务预算0万元。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截至2022年底，皮山县政府投资交易中心及下属各预算单位占用使用国有资产总体情况为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1.房屋85平方米，价值8.5</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3.办公家具价值11.297万元。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4.其他资产价值59.508万元。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仿宋" w:hAnsi="仿宋" w:eastAsia="仿宋" w:cs="仿宋"/>
          <w:position w:val="10"/>
          <w:sz w:val="32"/>
          <w:szCs w:val="32"/>
          <w:lang w:val="en-US" w:eastAsia="zh-CN"/>
        </w:rPr>
        <w:t>2023年，</w:t>
      </w:r>
      <w:r>
        <w:rPr>
          <w:rFonts w:hint="eastAsia" w:ascii="仿宋" w:hAnsi="仿宋" w:eastAsia="仿宋" w:cs="仿宋"/>
          <w:position w:val="10"/>
          <w:sz w:val="32"/>
          <w:szCs w:val="32"/>
        </w:rPr>
        <w:t>预算绩效管理</w:t>
      </w:r>
      <w:r>
        <w:rPr>
          <w:rFonts w:hint="eastAsia" w:ascii="仿宋" w:hAnsi="仿宋" w:eastAsia="仿宋" w:cs="仿宋"/>
          <w:position w:val="10"/>
          <w:sz w:val="32"/>
          <w:szCs w:val="32"/>
          <w:lang w:val="en-US" w:eastAsia="zh-CN"/>
        </w:rPr>
        <w:t>整体预算绩效目标1个，涉及金额121.90万元；</w:t>
      </w:r>
      <w:r>
        <w:rPr>
          <w:rFonts w:ascii="仿宋" w:hAnsi="仿宋" w:eastAsia="仿宋" w:cs="仿宋"/>
          <w:position w:val="10"/>
          <w:sz w:val="32"/>
          <w:szCs w:val="32"/>
        </w:rPr>
        <w:t>本年度预算绩效管理的财政拨款项目0个，涉及预算金额0万元；非财政拨款项目0个，涉及预算金额0万元。</w:t>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right="200"/>
        <w:jc w:val="both"/>
        <w:rPr>
          <w:rFonts w:ascii="仿宋" w:hAnsi="仿宋" w:eastAsia="仿宋" w:cs="仿宋"/>
          <w:position w:val="10"/>
          <w:sz w:val="34"/>
        </w:rPr>
      </w:pPr>
    </w:p>
    <w:tbl>
      <w:tblPr>
        <w:tblStyle w:val="4"/>
        <w:tblW w:w="9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185"/>
        <w:gridCol w:w="1986"/>
        <w:gridCol w:w="1618"/>
        <w:gridCol w:w="2261"/>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0" w:hRule="atLeast"/>
        </w:trPr>
        <w:tc>
          <w:tcPr>
            <w:tcW w:w="9540"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540"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72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皮山县政府投资交易中心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成继平</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18799371870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6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72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稳步推进电子化招投标工作，优化社会资源配置，提升监管服务质量，规范业务流程，建立诚信体系的网络平台，创造公开、公平、公正的电子招投标环境。严格按照深化政府采购制度改革的工作要求，充分发挥“互联网+政府采购”信息支撑，加大政府采购监管，强化政府采购全流程监督管理，加快推进政府采购“一张网”建设。严格按照《电子卖场管理办法》《政府采购需求管理办法》《政府采购交易流程》等招投标工作流程，建立统一规范的招投标有形市场，逐步建立电子招投标管理制度，构建监督体制、约束体制，从源头上遏制和净化招投标市场。全面公开意向采购，逐步规范采购程序，明确责任主体，确保所属预算单位严格按规定公开采购意向。优化采购活动办事程序，公示各级采购单位采购物资、办公用品流程图，详细说明在线询价、反向竞价、网上超市、服务市场、竞争性谈判、公开招投标等采购步骤及各类参数，进一步公开流程，缩短办事时间，提高工作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22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3" w:hRule="atLeast"/>
        </w:trPr>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中央安排</w:t>
            </w: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自治区安排</w:t>
            </w: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地（州、市）安排：</w:t>
            </w: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县（市、区）安排：</w:t>
            </w: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9" w:hRule="atLeast"/>
        </w:trPr>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9" w:hRule="atLeast"/>
        </w:trPr>
        <w:tc>
          <w:tcPr>
            <w:tcW w:w="2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3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电子化招投标系统使用率</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皮山县政府投资交易中心2023年工作计划</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“832平台”消费助力乡村振兴完成率</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皮山县政府投资交易中心2023年工作计划</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政府采购完结率</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皮山县政府投资交易中心2023年工作计划</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意向采购公开率</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皮山县政府投资交易中心2025年工作计划</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9"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采购方与供应方满意度</w:t>
            </w:r>
          </w:p>
        </w:tc>
        <w:tc>
          <w:tcPr>
            <w:tcW w:w="1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皮山县政府投资交易中心2023年工作计划</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bl>
    <w:p>
      <w:pPr>
        <w:spacing w:before="150"/>
        <w:ind w:right="200" w:firstLine="643" w:firstLineChars="2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sectPr>
          <w:cols w:space="720" w:num="1"/>
        </w:sectPr>
      </w:pPr>
      <w:r>
        <w:br w:type="textWrapping"/>
      </w: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ind w:left="200" w:right="200" w:firstLine="500"/>
        <w:jc w:val="both"/>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皮山县政府投资交易中心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4" w:name="_GoBack"/>
      <w:bookmarkEnd w:id="4"/>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1767"/>
    <w:rsid w:val="00854DE8"/>
    <w:rsid w:val="04BB4853"/>
    <w:rsid w:val="056F2287"/>
    <w:rsid w:val="057A3500"/>
    <w:rsid w:val="06420AD1"/>
    <w:rsid w:val="06911ED5"/>
    <w:rsid w:val="072A3447"/>
    <w:rsid w:val="0730587C"/>
    <w:rsid w:val="087463F9"/>
    <w:rsid w:val="0C59614E"/>
    <w:rsid w:val="0CD704DE"/>
    <w:rsid w:val="0D520AA9"/>
    <w:rsid w:val="0D8B77C4"/>
    <w:rsid w:val="0F2B146F"/>
    <w:rsid w:val="0F4222D4"/>
    <w:rsid w:val="119E6CF5"/>
    <w:rsid w:val="135505C5"/>
    <w:rsid w:val="13DB629F"/>
    <w:rsid w:val="146C76CF"/>
    <w:rsid w:val="146F54C2"/>
    <w:rsid w:val="1587514F"/>
    <w:rsid w:val="15CE1F52"/>
    <w:rsid w:val="15D802E3"/>
    <w:rsid w:val="16204E97"/>
    <w:rsid w:val="17C76EE4"/>
    <w:rsid w:val="18B32A58"/>
    <w:rsid w:val="18BE4823"/>
    <w:rsid w:val="195B59A7"/>
    <w:rsid w:val="1A002B20"/>
    <w:rsid w:val="1B3C5EBC"/>
    <w:rsid w:val="1D1A7A3A"/>
    <w:rsid w:val="1D471F6C"/>
    <w:rsid w:val="1E272107"/>
    <w:rsid w:val="1F5E599C"/>
    <w:rsid w:val="204A5285"/>
    <w:rsid w:val="214B330A"/>
    <w:rsid w:val="21D32B8D"/>
    <w:rsid w:val="232F1094"/>
    <w:rsid w:val="244F2DD7"/>
    <w:rsid w:val="255D1DDA"/>
    <w:rsid w:val="25AC3E5D"/>
    <w:rsid w:val="25E810F9"/>
    <w:rsid w:val="27547D16"/>
    <w:rsid w:val="27DF28D6"/>
    <w:rsid w:val="2AE61515"/>
    <w:rsid w:val="2B5300EF"/>
    <w:rsid w:val="2BDD431B"/>
    <w:rsid w:val="2BDE46D5"/>
    <w:rsid w:val="2C462E3B"/>
    <w:rsid w:val="2D2311AF"/>
    <w:rsid w:val="2D2D3F10"/>
    <w:rsid w:val="2FE82864"/>
    <w:rsid w:val="309673EF"/>
    <w:rsid w:val="31391C97"/>
    <w:rsid w:val="317E7CFE"/>
    <w:rsid w:val="320A66A5"/>
    <w:rsid w:val="3254318D"/>
    <w:rsid w:val="32BF6B7E"/>
    <w:rsid w:val="346E20D9"/>
    <w:rsid w:val="351A72AD"/>
    <w:rsid w:val="37DA6E30"/>
    <w:rsid w:val="3BB22735"/>
    <w:rsid w:val="3BFC161F"/>
    <w:rsid w:val="3C0F1D99"/>
    <w:rsid w:val="3C556F67"/>
    <w:rsid w:val="3F076341"/>
    <w:rsid w:val="3F6F3A0E"/>
    <w:rsid w:val="41180544"/>
    <w:rsid w:val="41755591"/>
    <w:rsid w:val="41A028AC"/>
    <w:rsid w:val="41CC21FF"/>
    <w:rsid w:val="425F7839"/>
    <w:rsid w:val="433D2460"/>
    <w:rsid w:val="435B15E9"/>
    <w:rsid w:val="43C5769F"/>
    <w:rsid w:val="43D1437D"/>
    <w:rsid w:val="44C43EE6"/>
    <w:rsid w:val="44FD333B"/>
    <w:rsid w:val="46722542"/>
    <w:rsid w:val="46B75D3F"/>
    <w:rsid w:val="48B43672"/>
    <w:rsid w:val="491F6946"/>
    <w:rsid w:val="49341FA1"/>
    <w:rsid w:val="4A6135FC"/>
    <w:rsid w:val="4AAC5B10"/>
    <w:rsid w:val="4AF66159"/>
    <w:rsid w:val="4B5C022A"/>
    <w:rsid w:val="4BD52AB9"/>
    <w:rsid w:val="4C4E7834"/>
    <w:rsid w:val="4CF0343A"/>
    <w:rsid w:val="4D785BF5"/>
    <w:rsid w:val="4DCB0F30"/>
    <w:rsid w:val="4EB237AC"/>
    <w:rsid w:val="4F316279"/>
    <w:rsid w:val="5004777E"/>
    <w:rsid w:val="51A258CD"/>
    <w:rsid w:val="533C41C5"/>
    <w:rsid w:val="53DE62D7"/>
    <w:rsid w:val="546377D4"/>
    <w:rsid w:val="58652DF2"/>
    <w:rsid w:val="58864F50"/>
    <w:rsid w:val="59C674C0"/>
    <w:rsid w:val="59FD262F"/>
    <w:rsid w:val="5A8E79A0"/>
    <w:rsid w:val="5B630C7D"/>
    <w:rsid w:val="5B8673F2"/>
    <w:rsid w:val="616B1562"/>
    <w:rsid w:val="61E95573"/>
    <w:rsid w:val="62AF08F4"/>
    <w:rsid w:val="62DC2941"/>
    <w:rsid w:val="63664561"/>
    <w:rsid w:val="63C0322B"/>
    <w:rsid w:val="64C32B5B"/>
    <w:rsid w:val="6736718B"/>
    <w:rsid w:val="679B4D81"/>
    <w:rsid w:val="67AA451F"/>
    <w:rsid w:val="67B3300F"/>
    <w:rsid w:val="691205EE"/>
    <w:rsid w:val="6C416227"/>
    <w:rsid w:val="6C6A5648"/>
    <w:rsid w:val="6CC354FC"/>
    <w:rsid w:val="6DC77328"/>
    <w:rsid w:val="6DFE018C"/>
    <w:rsid w:val="6E04718D"/>
    <w:rsid w:val="6E150F33"/>
    <w:rsid w:val="6E532B35"/>
    <w:rsid w:val="6FC203E7"/>
    <w:rsid w:val="70905AE9"/>
    <w:rsid w:val="70B950FC"/>
    <w:rsid w:val="70EB6921"/>
    <w:rsid w:val="71542E16"/>
    <w:rsid w:val="751D1E40"/>
    <w:rsid w:val="7568388B"/>
    <w:rsid w:val="775545EE"/>
    <w:rsid w:val="78D05741"/>
    <w:rsid w:val="78D54BD4"/>
    <w:rsid w:val="796259FE"/>
    <w:rsid w:val="7BE0189D"/>
    <w:rsid w:val="7CD049EE"/>
    <w:rsid w:val="7ECE7C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1498</Words>
  <Characters>1627</Characters>
  <TotalTime>1</TotalTime>
  <ScaleCrop>false</ScaleCrop>
  <LinksUpToDate>false</LinksUpToDate>
  <CharactersWithSpaces>1674</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2023-04-28T10:12:00Z</dcterms:created>
  <dc:creator>Apache POI</dc:creator>
  <cp:lastModifiedBy>Administrator</cp:lastModifiedBy>
  <dcterms:modified xsi:type="dcterms:W3CDTF">2025-07-23T09:09:34Z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147F515187834FA08719E0625B1829E9</vt:lpwstr>
  </property>
  <property fmtid="{D5CDD505-2E9C-101B-9397-08002B2CF9AE}" pid="4" name="KSOTemplateDocerSaveRecord">
    <vt:lpwstr>eyJoZGlkIjoiZmJiYzM4NGMxNTU2MDViMDQzMzBjNGQ5NThlMWYxNDciLCJ1c2VySWQiOiI5NTc2ODg5MzgifQ==</vt:lpwstr>
  </property>
</Properties>
</file>