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皮山县招商引资服务中心</w:t>
      </w:r>
    </w:p>
    <w:p>
      <w:pPr>
        <w:spacing w:before="150"/>
        <w:ind w:left="200" w:right="200"/>
        <w:jc w:val="center"/>
      </w:pPr>
      <w:r>
        <w:rPr>
          <w:rFonts w:ascii="黑体" w:hAnsi="黑体" w:eastAsia="黑体" w:cs="黑体"/>
          <w:position w:val="30"/>
          <w:sz w:val="42"/>
        </w:rPr>
        <w:t>2023年单位预算公开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皮山县招商引资服务中心单位概况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一、关于皮山县招商引资服务中心2023年收支预算情况的总体说明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二、关于皮山县招商引资服务中心2023年收入预算情况说明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三、关于皮山县招商引资服务中心2023年支出预算情况说明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四、关于皮山县招商引资服务中心2023年财政拨款收支预算情况的总体说明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五、关于皮山县招商引资服务中心2023年一般公共预算当年拨款情况说明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六、关于皮山县招商引资服务中心2023年一般公共预算基本支出情况说明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七、关于皮山县招商引资服务中心2023年一般公共预算项目支出情况说明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八、关于皮山县招商引资服务中心2023年政府性基金预算拨款情况说明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九、关于皮山县招商引资服务中心2023年国有资本经营预算拨款情况说明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十、关于皮山县招商引资服务中心2023年财政拨款“三公”经费预算情况说明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皮山县招商引资服务中心单位概况</w:t>
      </w:r>
    </w:p>
    <w:p>
      <w:pPr>
        <w:keepNext w:val="0"/>
        <w:keepLines w:val="0"/>
        <w:pageBreakBefore w:val="0"/>
        <w:widowControl w:val="0"/>
        <w:kinsoku/>
        <w:wordWrap/>
        <w:overflowPunct/>
        <w:topLinePunct w:val="0"/>
        <w:autoSpaceDE/>
        <w:autoSpaceDN/>
        <w:bidi w:val="0"/>
        <w:adjustRightInd/>
        <w:snapToGrid/>
        <w:spacing w:before="150" w:line="560" w:lineRule="atLeas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atLeas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负责配合主管部门做好重大招商引资活动保障服务 ；编制招商引资活动保障服务；编制招商引资发展规划 和年度计划，指导和配合各行业和各类开发区、园区的 有关招商引资工作；负责招商引资信息的收集、分析、 发布等工作；负责招商引资统计工作；负责外省(区、 市)人民政府和大型企业驻皮办事机构管理工作；指导 和管理贸易投资促进工作；承办</w:t>
      </w:r>
      <w:r>
        <w:rPr>
          <w:rFonts w:hint="eastAsia" w:ascii="仿宋" w:hAnsi="仿宋" w:eastAsia="仿宋" w:cs="仿宋"/>
          <w:position w:val="10"/>
          <w:sz w:val="32"/>
          <w:szCs w:val="32"/>
          <w:lang w:val="en-US" w:eastAsia="zh-CN"/>
        </w:rPr>
        <w:t>皮山县委、县政府</w:t>
      </w:r>
      <w:r>
        <w:rPr>
          <w:rFonts w:ascii="仿宋" w:hAnsi="仿宋" w:eastAsia="仿宋" w:cs="仿宋"/>
          <w:position w:val="10"/>
          <w:sz w:val="32"/>
          <w:szCs w:val="32"/>
        </w:rPr>
        <w:t>和上级主管部门交办的其他工作。</w:t>
      </w:r>
    </w:p>
    <w:p>
      <w:pPr>
        <w:keepNext w:val="0"/>
        <w:keepLines w:val="0"/>
        <w:pageBreakBefore w:val="0"/>
        <w:widowControl w:val="0"/>
        <w:kinsoku/>
        <w:wordWrap/>
        <w:overflowPunct/>
        <w:topLinePunct w:val="0"/>
        <w:autoSpaceDE/>
        <w:autoSpaceDN/>
        <w:bidi w:val="0"/>
        <w:adjustRightInd/>
        <w:snapToGrid/>
        <w:spacing w:before="150" w:line="560" w:lineRule="atLeas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atLeas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皮山县招商引资服务中心无下属预算单位，下设3个科室，分别是：综合信息组</w:t>
      </w:r>
      <w:r>
        <w:rPr>
          <w:rFonts w:hint="eastAsia" w:ascii="仿宋" w:hAnsi="仿宋" w:eastAsia="仿宋" w:cs="仿宋"/>
          <w:position w:val="10"/>
          <w:sz w:val="32"/>
          <w:szCs w:val="32"/>
          <w:lang w:eastAsia="zh-CN"/>
        </w:rPr>
        <w:t>、</w:t>
      </w:r>
      <w:r>
        <w:rPr>
          <w:rFonts w:ascii="仿宋" w:hAnsi="仿宋" w:eastAsia="仿宋" w:cs="仿宋"/>
          <w:position w:val="10"/>
          <w:sz w:val="32"/>
          <w:szCs w:val="32"/>
        </w:rPr>
        <w:t>联络接待组</w:t>
      </w:r>
      <w:r>
        <w:rPr>
          <w:rFonts w:hint="eastAsia" w:ascii="仿宋" w:hAnsi="仿宋" w:eastAsia="仿宋" w:cs="仿宋"/>
          <w:position w:val="10"/>
          <w:sz w:val="32"/>
          <w:szCs w:val="32"/>
          <w:lang w:eastAsia="zh-CN"/>
        </w:rPr>
        <w:t>、</w:t>
      </w:r>
      <w:r>
        <w:rPr>
          <w:rFonts w:ascii="仿宋" w:hAnsi="仿宋" w:eastAsia="仿宋" w:cs="仿宋"/>
          <w:position w:val="10"/>
          <w:sz w:val="32"/>
          <w:szCs w:val="32"/>
        </w:rPr>
        <w:t>落地服务组。</w:t>
      </w:r>
    </w:p>
    <w:p>
      <w:pPr>
        <w:keepNext w:val="0"/>
        <w:keepLines w:val="0"/>
        <w:pageBreakBefore w:val="0"/>
        <w:widowControl w:val="0"/>
        <w:kinsoku/>
        <w:wordWrap/>
        <w:overflowPunct/>
        <w:topLinePunct w:val="0"/>
        <w:autoSpaceDE/>
        <w:autoSpaceDN/>
        <w:bidi w:val="0"/>
        <w:adjustRightInd/>
        <w:snapToGrid/>
        <w:spacing w:line="560" w:lineRule="atLeas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皮山县招商引资服务中心单位编制数5，实有人数12人，其中：在职8人，增加0人；退休4人，增加0人；离休0人，增加0人。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10"/>
        <w:gridCol w:w="288"/>
        <w:gridCol w:w="236"/>
        <w:gridCol w:w="1003"/>
        <w:gridCol w:w="436"/>
        <w:gridCol w:w="880"/>
        <w:gridCol w:w="683"/>
        <w:gridCol w:w="954"/>
        <w:gridCol w:w="464"/>
        <w:gridCol w:w="731"/>
        <w:gridCol w:w="502"/>
        <w:gridCol w:w="845"/>
        <w:gridCol w:w="213"/>
        <w:gridCol w:w="213"/>
        <w:gridCol w:w="271"/>
        <w:gridCol w:w="2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90" w:type="dxa"/>
            <w:gridSpan w:val="8"/>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51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9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239"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31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63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195"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347"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426"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542"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003" w:type="dxa"/>
            <w:vMerge w:val="continue"/>
          </w:tcPr>
          <w:p/>
        </w:tc>
        <w:tc>
          <w:tcPr>
            <w:tcW w:w="436" w:type="dxa"/>
            <w:vMerge w:val="continue"/>
          </w:tcP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213" w:type="dxa"/>
            <w:vMerge w:val="continue"/>
          </w:tcPr>
          <w:p/>
        </w:tc>
        <w:tc>
          <w:tcPr>
            <w:tcW w:w="213" w:type="dxa"/>
            <w:vMerge w:val="continue"/>
          </w:tcPr>
          <w:p/>
        </w:tc>
        <w:tc>
          <w:tcPr>
            <w:tcW w:w="271" w:type="dxa"/>
            <w:vMerge w:val="continue"/>
          </w:tcPr>
          <w:p/>
        </w:tc>
        <w:tc>
          <w:tcPr>
            <w:tcW w:w="27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招商引资</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8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95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3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1"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6"/>
        <w:gridCol w:w="1618"/>
        <w:gridCol w:w="236"/>
        <w:gridCol w:w="1455"/>
        <w:gridCol w:w="1455"/>
        <w:gridCol w:w="436"/>
        <w:gridCol w:w="793"/>
        <w:gridCol w:w="77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45" w:type="dxa"/>
            <w:gridSpan w:val="4"/>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455"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4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45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1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3582"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79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7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10" w:type="dxa"/>
            <w:gridSpan w:val="2"/>
            <w:vMerge w:val="continue"/>
          </w:tcPr>
          <w:p/>
        </w:tc>
        <w:tc>
          <w:tcPr>
            <w:tcW w:w="436" w:type="dxa"/>
            <w:vMerge w:val="continue"/>
          </w:tcPr>
          <w:p/>
        </w:tc>
        <w:tc>
          <w:tcPr>
            <w:tcW w:w="793" w:type="dxa"/>
            <w:vMerge w:val="continue"/>
          </w:tcPr>
          <w:p/>
        </w:tc>
        <w:tc>
          <w:tcPr>
            <w:tcW w:w="77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招商引资</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1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79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771"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730"/>
        <w:gridCol w:w="836"/>
        <w:gridCol w:w="2126"/>
        <w:gridCol w:w="352"/>
        <w:gridCol w:w="333"/>
        <w:gridCol w:w="934"/>
        <w:gridCol w:w="982"/>
        <w:gridCol w:w="11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044" w:type="dxa"/>
            <w:gridSpan w:val="4"/>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356"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4"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35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7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212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68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9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9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6"/>
        <w:gridCol w:w="1616"/>
        <w:gridCol w:w="255"/>
        <w:gridCol w:w="1435"/>
        <w:gridCol w:w="1435"/>
        <w:gridCol w:w="473"/>
        <w:gridCol w:w="787"/>
        <w:gridCol w:w="7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42" w:type="dxa"/>
            <w:gridSpan w:val="4"/>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458"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94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45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1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3598"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78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870" w:type="dxa"/>
            <w:gridSpan w:val="2"/>
            <w:vMerge w:val="continue"/>
          </w:tcPr>
          <w:p/>
        </w:tc>
        <w:tc>
          <w:tcPr>
            <w:tcW w:w="473" w:type="dxa"/>
            <w:vMerge w:val="continue"/>
          </w:tcPr>
          <w:p/>
        </w:tc>
        <w:tc>
          <w:tcPr>
            <w:tcW w:w="787" w:type="dxa"/>
            <w:vMerge w:val="continue"/>
          </w:tcPr>
          <w:p/>
        </w:tc>
        <w:tc>
          <w:tcPr>
            <w:tcW w:w="763"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商贸事务</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招商引资</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140.9</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7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7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57"/>
        <w:gridCol w:w="1657"/>
        <w:gridCol w:w="2872"/>
        <w:gridCol w:w="522"/>
        <w:gridCol w:w="846"/>
        <w:gridCol w:w="8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86" w:type="dxa"/>
            <w:gridSpan w:val="3"/>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221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8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21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3394"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84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872" w:type="dxa"/>
            <w:vMerge w:val="continue"/>
          </w:tcPr>
          <w:p/>
        </w:tc>
        <w:tc>
          <w:tcPr>
            <w:tcW w:w="522" w:type="dxa"/>
            <w:vMerge w:val="continue"/>
          </w:tcPr>
          <w:p/>
        </w:tc>
        <w:tc>
          <w:tcPr>
            <w:tcW w:w="846" w:type="dxa"/>
            <w:vMerge w:val="continue"/>
          </w:tcPr>
          <w:p/>
        </w:tc>
        <w:tc>
          <w:tcPr>
            <w:tcW w:w="84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145.91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145.91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33.54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33.54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43.7</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13.59</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13.59</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16.55</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0.28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0.86</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15.73</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15.62</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0.11</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5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8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162.50</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162.50</w:t>
            </w:r>
          </w:p>
        </w:tc>
        <w:tc>
          <w:tcPr>
            <w:tcW w:w="84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67"/>
        <w:gridCol w:w="667"/>
        <w:gridCol w:w="345"/>
        <w:gridCol w:w="209"/>
        <w:gridCol w:w="309"/>
        <w:gridCol w:w="417"/>
        <w:gridCol w:w="955"/>
        <w:gridCol w:w="1148"/>
        <w:gridCol w:w="526"/>
        <w:gridCol w:w="762"/>
        <w:gridCol w:w="381"/>
        <w:gridCol w:w="381"/>
        <w:gridCol w:w="381"/>
        <w:gridCol w:w="381"/>
        <w:gridCol w:w="526"/>
        <w:gridCol w:w="34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17" w:type="dxa"/>
            <w:gridSpan w:val="8"/>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683"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3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518"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4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95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11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52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762"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8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52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4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09" w:type="dxa"/>
            <w:vMerge w:val="continue"/>
          </w:tcPr>
          <w:p/>
        </w:tc>
        <w:tc>
          <w:tcPr>
            <w:tcW w:w="309" w:type="dxa"/>
            <w:vMerge w:val="continue"/>
          </w:tcPr>
          <w:p/>
        </w:tc>
        <w:tc>
          <w:tcPr>
            <w:tcW w:w="417" w:type="dxa"/>
            <w:vMerge w:val="continue"/>
          </w:tcPr>
          <w:p/>
        </w:tc>
        <w:tc>
          <w:tcPr>
            <w:tcW w:w="955" w:type="dxa"/>
            <w:vMerge w:val="continue"/>
          </w:tcPr>
          <w:p/>
        </w:tc>
        <w:tc>
          <w:tcPr>
            <w:tcW w:w="1148" w:type="dxa"/>
            <w:vMerge w:val="continue"/>
          </w:tcPr>
          <w:p/>
        </w:tc>
        <w:tc>
          <w:tcPr>
            <w:tcW w:w="526" w:type="dxa"/>
            <w:vMerge w:val="continue"/>
          </w:tcPr>
          <w:p/>
        </w:tc>
        <w:tc>
          <w:tcPr>
            <w:tcW w:w="762" w:type="dxa"/>
            <w:vMerge w:val="continue"/>
          </w:tcPr>
          <w:p/>
        </w:tc>
        <w:tc>
          <w:tcPr>
            <w:tcW w:w="381" w:type="dxa"/>
            <w:vMerge w:val="continue"/>
          </w:tcPr>
          <w:p/>
        </w:tc>
        <w:tc>
          <w:tcPr>
            <w:tcW w:w="381" w:type="dxa"/>
            <w:vMerge w:val="continue"/>
          </w:tcPr>
          <w:p/>
        </w:tc>
        <w:tc>
          <w:tcPr>
            <w:tcW w:w="381" w:type="dxa"/>
            <w:vMerge w:val="continue"/>
          </w:tcPr>
          <w:p/>
        </w:tc>
        <w:tc>
          <w:tcPr>
            <w:tcW w:w="381" w:type="dxa"/>
            <w:vMerge w:val="continue"/>
          </w:tcPr>
          <w:p/>
        </w:tc>
        <w:tc>
          <w:tcPr>
            <w:tcW w:w="526" w:type="dxa"/>
            <w:vMerge w:val="continue"/>
          </w:tcPr>
          <w:p/>
        </w:tc>
        <w:tc>
          <w:tcPr>
            <w:tcW w:w="34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0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4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Pr>
          <w:p/>
        </w:tc>
        <w:tc>
          <w:tcPr>
            <w:tcW w:w="667" w:type="dxa"/>
          </w:tcPr>
          <w:p/>
        </w:tc>
        <w:tc>
          <w:tcPr>
            <w:tcW w:w="345" w:type="dxa"/>
          </w:tcPr>
          <w:p/>
        </w:tc>
        <w:tc>
          <w:tcPr>
            <w:tcW w:w="209" w:type="dxa"/>
          </w:tcPr>
          <w:p/>
        </w:tc>
        <w:tc>
          <w:tcPr>
            <w:tcW w:w="309" w:type="dxa"/>
          </w:tcPr>
          <w:p/>
        </w:tc>
        <w:tc>
          <w:tcPr>
            <w:tcW w:w="417" w:type="dxa"/>
          </w:tcPr>
          <w:p/>
        </w:tc>
        <w:tc>
          <w:tcPr>
            <w:tcW w:w="955" w:type="dxa"/>
          </w:tcPr>
          <w:p/>
        </w:tc>
        <w:tc>
          <w:tcPr>
            <w:tcW w:w="1148" w:type="dxa"/>
          </w:tcPr>
          <w:p/>
        </w:tc>
        <w:tc>
          <w:tcPr>
            <w:tcW w:w="526" w:type="dxa"/>
          </w:tcPr>
          <w:p/>
        </w:tc>
        <w:tc>
          <w:tcPr>
            <w:tcW w:w="762" w:type="dxa"/>
          </w:tcPr>
          <w:p/>
        </w:tc>
        <w:tc>
          <w:tcPr>
            <w:tcW w:w="381" w:type="dxa"/>
          </w:tcPr>
          <w:p/>
        </w:tc>
        <w:tc>
          <w:tcPr>
            <w:tcW w:w="381" w:type="dxa"/>
          </w:tcPr>
          <w:p/>
        </w:tc>
        <w:tc>
          <w:tcPr>
            <w:tcW w:w="381" w:type="dxa"/>
          </w:tcPr>
          <w:p/>
        </w:tc>
        <w:tc>
          <w:tcPr>
            <w:tcW w:w="381" w:type="dxa"/>
          </w:tcPr>
          <w:p/>
        </w:tc>
        <w:tc>
          <w:tcPr>
            <w:tcW w:w="526" w:type="dxa"/>
          </w:tcPr>
          <w:p/>
        </w:tc>
        <w:tc>
          <w:tcPr>
            <w:tcW w:w="34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Pr>
          <w:p/>
        </w:tc>
        <w:tc>
          <w:tcPr>
            <w:tcW w:w="667" w:type="dxa"/>
          </w:tcPr>
          <w:p/>
        </w:tc>
        <w:tc>
          <w:tcPr>
            <w:tcW w:w="345" w:type="dxa"/>
          </w:tcPr>
          <w:p/>
        </w:tc>
        <w:tc>
          <w:tcPr>
            <w:tcW w:w="209" w:type="dxa"/>
          </w:tcPr>
          <w:p/>
        </w:tc>
        <w:tc>
          <w:tcPr>
            <w:tcW w:w="309" w:type="dxa"/>
          </w:tcPr>
          <w:p/>
        </w:tc>
        <w:tc>
          <w:tcPr>
            <w:tcW w:w="417" w:type="dxa"/>
          </w:tcPr>
          <w:p/>
        </w:tc>
        <w:tc>
          <w:tcPr>
            <w:tcW w:w="955" w:type="dxa"/>
          </w:tcPr>
          <w:p/>
        </w:tc>
        <w:tc>
          <w:tcPr>
            <w:tcW w:w="1148" w:type="dxa"/>
          </w:tcPr>
          <w:p/>
        </w:tc>
        <w:tc>
          <w:tcPr>
            <w:tcW w:w="526" w:type="dxa"/>
          </w:tcPr>
          <w:p/>
        </w:tc>
        <w:tc>
          <w:tcPr>
            <w:tcW w:w="762" w:type="dxa"/>
          </w:tcPr>
          <w:p/>
        </w:tc>
        <w:tc>
          <w:tcPr>
            <w:tcW w:w="381" w:type="dxa"/>
          </w:tcPr>
          <w:p/>
        </w:tc>
        <w:tc>
          <w:tcPr>
            <w:tcW w:w="381" w:type="dxa"/>
          </w:tcPr>
          <w:p/>
        </w:tc>
        <w:tc>
          <w:tcPr>
            <w:tcW w:w="381" w:type="dxa"/>
          </w:tcPr>
          <w:p/>
        </w:tc>
        <w:tc>
          <w:tcPr>
            <w:tcW w:w="381" w:type="dxa"/>
          </w:tcPr>
          <w:p/>
        </w:tc>
        <w:tc>
          <w:tcPr>
            <w:tcW w:w="526" w:type="dxa"/>
          </w:tcPr>
          <w:p/>
        </w:tc>
        <w:tc>
          <w:tcPr>
            <w:tcW w:w="34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Pr>
          <w:p/>
        </w:tc>
        <w:tc>
          <w:tcPr>
            <w:tcW w:w="667" w:type="dxa"/>
          </w:tcPr>
          <w:p/>
        </w:tc>
        <w:tc>
          <w:tcPr>
            <w:tcW w:w="345" w:type="dxa"/>
          </w:tcPr>
          <w:p/>
        </w:tc>
        <w:tc>
          <w:tcPr>
            <w:tcW w:w="209" w:type="dxa"/>
          </w:tcPr>
          <w:p/>
        </w:tc>
        <w:tc>
          <w:tcPr>
            <w:tcW w:w="309" w:type="dxa"/>
          </w:tcPr>
          <w:p/>
        </w:tc>
        <w:tc>
          <w:tcPr>
            <w:tcW w:w="417" w:type="dxa"/>
          </w:tcPr>
          <w:p/>
        </w:tc>
        <w:tc>
          <w:tcPr>
            <w:tcW w:w="955" w:type="dxa"/>
          </w:tcPr>
          <w:p/>
        </w:tc>
        <w:tc>
          <w:tcPr>
            <w:tcW w:w="1148" w:type="dxa"/>
          </w:tcPr>
          <w:p/>
        </w:tc>
        <w:tc>
          <w:tcPr>
            <w:tcW w:w="526" w:type="dxa"/>
          </w:tcPr>
          <w:p/>
        </w:tc>
        <w:tc>
          <w:tcPr>
            <w:tcW w:w="762" w:type="dxa"/>
          </w:tcPr>
          <w:p/>
        </w:tc>
        <w:tc>
          <w:tcPr>
            <w:tcW w:w="381" w:type="dxa"/>
          </w:tcPr>
          <w:p/>
        </w:tc>
        <w:tc>
          <w:tcPr>
            <w:tcW w:w="381" w:type="dxa"/>
          </w:tcPr>
          <w:p/>
        </w:tc>
        <w:tc>
          <w:tcPr>
            <w:tcW w:w="381" w:type="dxa"/>
          </w:tcPr>
          <w:p/>
        </w:tc>
        <w:tc>
          <w:tcPr>
            <w:tcW w:w="381" w:type="dxa"/>
          </w:tcPr>
          <w:p/>
        </w:tc>
        <w:tc>
          <w:tcPr>
            <w:tcW w:w="526" w:type="dxa"/>
          </w:tcPr>
          <w:p/>
        </w:tc>
        <w:tc>
          <w:tcPr>
            <w:tcW w:w="34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Pr>
          <w:p/>
        </w:tc>
        <w:tc>
          <w:tcPr>
            <w:tcW w:w="667" w:type="dxa"/>
          </w:tcPr>
          <w:p/>
        </w:tc>
        <w:tc>
          <w:tcPr>
            <w:tcW w:w="345" w:type="dxa"/>
          </w:tcPr>
          <w:p/>
        </w:tc>
        <w:tc>
          <w:tcPr>
            <w:tcW w:w="209" w:type="dxa"/>
          </w:tcPr>
          <w:p/>
        </w:tc>
        <w:tc>
          <w:tcPr>
            <w:tcW w:w="309" w:type="dxa"/>
          </w:tcPr>
          <w:p/>
        </w:tc>
        <w:tc>
          <w:tcPr>
            <w:tcW w:w="417" w:type="dxa"/>
          </w:tcPr>
          <w:p/>
        </w:tc>
        <w:tc>
          <w:tcPr>
            <w:tcW w:w="955" w:type="dxa"/>
          </w:tcPr>
          <w:p/>
        </w:tc>
        <w:tc>
          <w:tcPr>
            <w:tcW w:w="1148" w:type="dxa"/>
          </w:tcPr>
          <w:p/>
        </w:tc>
        <w:tc>
          <w:tcPr>
            <w:tcW w:w="526" w:type="dxa"/>
          </w:tcPr>
          <w:p/>
        </w:tc>
        <w:tc>
          <w:tcPr>
            <w:tcW w:w="762" w:type="dxa"/>
          </w:tcPr>
          <w:p/>
        </w:tc>
        <w:tc>
          <w:tcPr>
            <w:tcW w:w="381" w:type="dxa"/>
          </w:tcPr>
          <w:p/>
        </w:tc>
        <w:tc>
          <w:tcPr>
            <w:tcW w:w="381" w:type="dxa"/>
          </w:tcPr>
          <w:p/>
        </w:tc>
        <w:tc>
          <w:tcPr>
            <w:tcW w:w="381" w:type="dxa"/>
          </w:tcPr>
          <w:p/>
        </w:tc>
        <w:tc>
          <w:tcPr>
            <w:tcW w:w="381" w:type="dxa"/>
          </w:tcPr>
          <w:p/>
        </w:tc>
        <w:tc>
          <w:tcPr>
            <w:tcW w:w="526" w:type="dxa"/>
          </w:tcPr>
          <w:p/>
        </w:tc>
        <w:tc>
          <w:tcPr>
            <w:tcW w:w="34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Pr>
          <w:p/>
        </w:tc>
        <w:tc>
          <w:tcPr>
            <w:tcW w:w="667" w:type="dxa"/>
          </w:tcPr>
          <w:p/>
        </w:tc>
        <w:tc>
          <w:tcPr>
            <w:tcW w:w="345" w:type="dxa"/>
          </w:tcPr>
          <w:p/>
        </w:tc>
        <w:tc>
          <w:tcPr>
            <w:tcW w:w="209" w:type="dxa"/>
          </w:tcPr>
          <w:p/>
        </w:tc>
        <w:tc>
          <w:tcPr>
            <w:tcW w:w="309" w:type="dxa"/>
          </w:tcPr>
          <w:p/>
        </w:tc>
        <w:tc>
          <w:tcPr>
            <w:tcW w:w="417" w:type="dxa"/>
          </w:tcPr>
          <w:p/>
        </w:tc>
        <w:tc>
          <w:tcPr>
            <w:tcW w:w="955" w:type="dxa"/>
          </w:tcPr>
          <w:p/>
        </w:tc>
        <w:tc>
          <w:tcPr>
            <w:tcW w:w="1148" w:type="dxa"/>
          </w:tcPr>
          <w:p/>
        </w:tc>
        <w:tc>
          <w:tcPr>
            <w:tcW w:w="526" w:type="dxa"/>
          </w:tcPr>
          <w:p/>
        </w:tc>
        <w:tc>
          <w:tcPr>
            <w:tcW w:w="762" w:type="dxa"/>
          </w:tcPr>
          <w:p/>
        </w:tc>
        <w:tc>
          <w:tcPr>
            <w:tcW w:w="381" w:type="dxa"/>
          </w:tcPr>
          <w:p/>
        </w:tc>
        <w:tc>
          <w:tcPr>
            <w:tcW w:w="381" w:type="dxa"/>
          </w:tcPr>
          <w:p/>
        </w:tc>
        <w:tc>
          <w:tcPr>
            <w:tcW w:w="381" w:type="dxa"/>
          </w:tcPr>
          <w:p/>
        </w:tc>
        <w:tc>
          <w:tcPr>
            <w:tcW w:w="381" w:type="dxa"/>
          </w:tcPr>
          <w:p/>
        </w:tc>
        <w:tc>
          <w:tcPr>
            <w:tcW w:w="526" w:type="dxa"/>
          </w:tcPr>
          <w:p/>
        </w:tc>
        <w:tc>
          <w:tcPr>
            <w:tcW w:w="34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left w:val="nil"/>
              <w:bottom w:val="nil"/>
              <w:right w:val="nil"/>
            </w:tcBorders>
            <w:vAlign w:val="center"/>
          </w:tcPr>
          <w:p>
            <w:pPr>
              <w:ind w:left="150"/>
              <w:jc w:val="left"/>
            </w:pPr>
            <w:r>
              <w:rPr>
                <w:rFonts w:ascii="仿宋" w:hAnsi="仿宋" w:eastAsia="仿宋" w:cs="仿宋"/>
                <w:position w:val="8"/>
                <w:sz w:val="20"/>
              </w:rPr>
              <w:t>皮山县招商引资服务中心2023年没有公共预算项目安排的支出，一般公共预算项目支出情况表为空表。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92"/>
        <w:gridCol w:w="2249"/>
        <w:gridCol w:w="851"/>
        <w:gridCol w:w="390"/>
        <w:gridCol w:w="390"/>
        <w:gridCol w:w="46"/>
        <w:gridCol w:w="1091"/>
        <w:gridCol w:w="10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2" w:type="dxa"/>
            <w:gridSpan w:val="4"/>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2618"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82"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61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2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77"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9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2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80" w:type="dxa"/>
            <w:gridSpan w:val="2"/>
            <w:vMerge w:val="continue"/>
          </w:tcPr>
          <w:p/>
        </w:tc>
        <w:tc>
          <w:tcPr>
            <w:tcW w:w="46" w:type="dxa"/>
            <w:vMerge w:val="continue"/>
          </w:tcPr>
          <w:p/>
        </w:tc>
        <w:tc>
          <w:tcPr>
            <w:tcW w:w="1091" w:type="dxa"/>
            <w:vMerge w:val="continue"/>
          </w:tcPr>
          <w:p/>
        </w:tc>
        <w:tc>
          <w:tcPr>
            <w:tcW w:w="1091"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92" w:type="dxa"/>
          </w:tcPr>
          <w:p/>
        </w:tc>
        <w:tc>
          <w:tcPr>
            <w:tcW w:w="2249" w:type="dxa"/>
          </w:tcPr>
          <w:p/>
        </w:tc>
        <w:tc>
          <w:tcPr>
            <w:tcW w:w="851" w:type="dxa"/>
          </w:tcPr>
          <w:p/>
        </w:tc>
        <w:tc>
          <w:tcPr>
            <w:tcW w:w="780" w:type="dxa"/>
            <w:gridSpan w:val="2"/>
          </w:tcPr>
          <w:p/>
        </w:tc>
        <w:tc>
          <w:tcPr>
            <w:tcW w:w="46" w:type="dxa"/>
          </w:tcPr>
          <w:p/>
        </w:tc>
        <w:tc>
          <w:tcPr>
            <w:tcW w:w="1091" w:type="dxa"/>
          </w:tcPr>
          <w:p/>
        </w:tc>
        <w:tc>
          <w:tcPr>
            <w:tcW w:w="10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皮山县招商引资服务中心2023年没有使用政府性基金预算拨款安排的支出，政府性基金预算支出情况表为空表。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233"/>
        <w:gridCol w:w="2197"/>
        <w:gridCol w:w="735"/>
        <w:gridCol w:w="389"/>
        <w:gridCol w:w="389"/>
        <w:gridCol w:w="46"/>
        <w:gridCol w:w="1205"/>
        <w:gridCol w:w="12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54" w:type="dxa"/>
            <w:gridSpan w:val="4"/>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2846"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54"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84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19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559"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1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78" w:type="dxa"/>
            <w:gridSpan w:val="2"/>
            <w:vMerge w:val="continue"/>
          </w:tcPr>
          <w:p/>
        </w:tc>
        <w:tc>
          <w:tcPr>
            <w:tcW w:w="46" w:type="dxa"/>
            <w:vMerge w:val="continue"/>
          </w:tcPr>
          <w:p/>
        </w:tc>
        <w:tc>
          <w:tcPr>
            <w:tcW w:w="1205" w:type="dxa"/>
            <w:vMerge w:val="continue"/>
          </w:tcPr>
          <w:p/>
        </w:tc>
        <w:tc>
          <w:tcPr>
            <w:tcW w:w="12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3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7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4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233" w:type="dxa"/>
          </w:tcPr>
          <w:p/>
        </w:tc>
        <w:tc>
          <w:tcPr>
            <w:tcW w:w="2197" w:type="dxa"/>
          </w:tcPr>
          <w:p/>
        </w:tc>
        <w:tc>
          <w:tcPr>
            <w:tcW w:w="735" w:type="dxa"/>
          </w:tcPr>
          <w:p/>
        </w:tc>
        <w:tc>
          <w:tcPr>
            <w:tcW w:w="778" w:type="dxa"/>
            <w:gridSpan w:val="2"/>
          </w:tcPr>
          <w:p/>
        </w:tc>
        <w:tc>
          <w:tcPr>
            <w:tcW w:w="46" w:type="dxa"/>
          </w:tcPr>
          <w:p/>
        </w:tc>
        <w:tc>
          <w:tcPr>
            <w:tcW w:w="1205" w:type="dxa"/>
          </w:tcPr>
          <w:p/>
        </w:tc>
        <w:tc>
          <w:tcPr>
            <w:tcW w:w="120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皮山县招商引资服务中心2023年没有安排国有资本经营预算的支出，国有资本经营预算支出情况表为空表。</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473"/>
        <w:gridCol w:w="48"/>
        <w:gridCol w:w="615"/>
        <w:gridCol w:w="616"/>
        <w:gridCol w:w="1045"/>
        <w:gridCol w:w="16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36" w:type="dxa"/>
            <w:gridSpan w:val="3"/>
            <w:tcBorders>
              <w:top w:val="nil"/>
              <w:left w:val="nil"/>
              <w:right w:val="nil"/>
            </w:tcBorders>
            <w:vAlign w:val="center"/>
          </w:tcPr>
          <w:p>
            <w:pPr>
              <w:ind w:left="150"/>
              <w:jc w:val="left"/>
            </w:pPr>
            <w:r>
              <w:rPr>
                <w:rFonts w:ascii="仿宋" w:hAnsi="仿宋" w:eastAsia="仿宋" w:cs="仿宋"/>
                <w:position w:val="8"/>
                <w:sz w:val="20"/>
              </w:rPr>
              <w:t>编制单位：皮山县招商引资服务中心</w:t>
            </w:r>
          </w:p>
        </w:tc>
        <w:tc>
          <w:tcPr>
            <w:tcW w:w="3264"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324"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vMerge w:val="continue"/>
          </w:tcPr>
          <w:p/>
        </w:tc>
        <w:tc>
          <w:tcPr>
            <w:tcW w:w="48" w:type="dxa"/>
            <w:vMerge w:val="continue"/>
          </w:tcP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47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3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4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left w:val="nil"/>
              <w:bottom w:val="nil"/>
              <w:right w:val="nil"/>
            </w:tcBorders>
            <w:vAlign w:val="center"/>
          </w:tcPr>
          <w:p>
            <w:pPr>
              <w:ind w:left="150"/>
              <w:jc w:val="left"/>
            </w:pPr>
            <w:r>
              <w:rPr>
                <w:rFonts w:ascii="仿宋" w:hAnsi="仿宋" w:eastAsia="仿宋" w:cs="仿宋"/>
                <w:position w:val="8"/>
                <w:sz w:val="20"/>
              </w:rPr>
              <w:t>皮山县招商引资服务中心2023年没有使用财政拨款“三公”经费安排的支出，财政拨款“三公”经费支出情况表为空表。</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一、关于皮山县招商引资服务中心2023年收支预算情况的总体说明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按照全口径预算的原则，皮山县招商引资服务中心2023年所有收入和支出均纳入单位预算管理。收支总预算162.5万元。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支出预算包括：一般公共服务支出、社会保障和就业支出。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二、关于皮山县招商引资服务中心2023年收入预算情况说明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皮山县招商引资服务中心收入预算162.5万元，其中：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一般公共预算162.5万元，占100.00%，比上年预算减少342.96万元，下降67.85%，主要原因是减少项目预算。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三、关于皮山县招商引资服务中心2023年支出预算情况说明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皮山县招商引资服务中心2023年支出预算162.5万元，其中：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基本支出162.5万元，占100.00%，比上年预算减少4.48万元，下降2.68%，主要原因是缩减支出。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项目支出0万元，占0.00%，比上年预算减少338.48万元，下降100%，主要原因是2023年度无项目资金。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四、关于皮山县招商引资服务中心2023年财政拨款收支预算情况的总体说明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2023年财政拨款收支总预算162.5万元。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收入预算包括：一般公共预算拨款162.5万元。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一般公共预算支出包括：一般公共服务支出140.9万元，主要用于人员工资津补贴支出。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社会保障和就业支出21.6万元，主要用于人员工资社保缴费。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五、关于皮山县招商引资服务中心2023年一般公共预算当年拨款情况说明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皮山县招商引资服务中心2023年一般公共预算拨款合计162.5万元，其中：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基本支出162.5万元，比上年预算减少4.48万元，下降2.68%。主要原因是：缩减支出。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ascii="仿宋" w:hAnsi="仿宋" w:eastAsia="仿宋" w:cs="仿宋"/>
          <w:position w:val="10"/>
          <w:sz w:val="32"/>
          <w:szCs w:val="32"/>
        </w:rPr>
        <w:t>项目支出0万元，比上年预算减少338.48万元，下降100%。主要原因是：2023年度没有项目预算。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1.一般公共服务支出（类）140.9万元，占86.71%。</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2.社会保障和就业支出（类）21.6万元，占13.29%。</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1.一般公共服务支出（类）商贸事务（款）招商引资（项）:2023年预算数为140.9万元，比上年预算数减少335.61万元，下降70.43%，主要原因是：减少项目支出。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基本养老保险缴费支出（项）:2023年预算数为14.4万元，比上年预算数减少1.33万元，下降8.46%，主要原因是：机关事业单位基本养老保险缴费支出减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3.社会保障和就业支出（类）行政事业单位养老支出（款）机关事业单位职业年金缴费支出（项）:2023年预算数为7.2万元，比上年预算数减少0.67万元，下降8.51%，主要原因是：养老保险缴费支出减少。</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六、关于皮山县招商引资服务中心2023年一般公共预算基本支出情况说明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皮山县招商引资服务中心2023年一般公共预算基本支出162.50万元，其中：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162.50万元，主要包括：基本工资、津贴补贴、奖金、机关事业单位基本养老保险缴费、职业年金缴费、城镇职工基本医疗保险缴费、公务员医疗补助缴费、其他社会保障缴费、住房公积金、取暖费、退休费、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七、关于皮山县招商引资服务中心2023年一般公共预算项目支出情况说明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w:t>
      </w:r>
      <w:r>
        <w:rPr>
          <w:rFonts w:hint="eastAsia" w:ascii="仿宋" w:hAnsi="仿宋" w:eastAsia="仿宋" w:cs="仿宋"/>
          <w:position w:val="10"/>
          <w:sz w:val="32"/>
          <w:szCs w:val="32"/>
          <w:lang w:val="en-US" w:eastAsia="zh-CN"/>
        </w:rPr>
        <w:t>，没有</w:t>
      </w:r>
      <w:r>
        <w:rPr>
          <w:rFonts w:ascii="仿宋" w:hAnsi="仿宋" w:eastAsia="仿宋" w:cs="仿宋"/>
          <w:position w:val="10"/>
          <w:sz w:val="32"/>
          <w:szCs w:val="32"/>
        </w:rPr>
        <w:t>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八、关于皮山县招商引资服务中心2023年政府性基金预算拨款情况说明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九、关于皮山县招商引资服务中心2023年国有资本经营预算拨款情况说明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十、关于皮山县招商引资服务中心2023年财政拨款“三公”经费预算情况说明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皮山县招商引资服务中心2023年财政拨款“三公”经费数为0万元，其中：因公出国（境）费0万元，公务用车购置费0万元，公务用车运行费0万元，公务接待费0万元。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我单位无因公出国（境）费。公务用车购置费增加0万元，增长0%，主要原因是我单位无公务用车购置费。公务用车运行费增加0万元，增长0%，主要原因是我单位无公务用车运行费。公务接待费增加0万元，增长0%，主要原因是我单位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2023年，皮山县招商引资服务中心本级及下属0家行政单位和0家事业单位的机关运行经费财政拨款预算0万元，比上年预算减少5.35万元，下降100%。主要原因是缩减开支。</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2023年，皮山县招商引资服务中心政府采购预算0万元，其中：政府采购货物预算0万元，政府采购工程预算0万元，政府采购服务预算0万元。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截至2022年底，皮山县招商引资服务中心及下属各预算单位占用使用国有资产总体情况为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无其他需要说明的事项。</w:t>
      </w:r>
    </w:p>
    <w:p>
      <w:pPr>
        <w:sectPr>
          <w:cols w:space="720" w:num="1"/>
        </w:sectPr>
      </w:pPr>
      <w:r>
        <w:br w:type="textWrapping"/>
      </w:r>
    </w:p>
    <w:p>
      <w:pPr>
        <w:keepNext w:val="0"/>
        <w:keepLines w:val="0"/>
        <w:pageBreakBefore w:val="0"/>
        <w:widowControl w:val="0"/>
        <w:kinsoku/>
        <w:wordWrap/>
        <w:overflowPunct/>
        <w:topLinePunct w:val="0"/>
        <w:autoSpaceDE/>
        <w:autoSpaceDN/>
        <w:bidi w:val="0"/>
        <w:adjustRightInd/>
        <w:snapToGrid/>
        <w:spacing w:line="560" w:lineRule="exact"/>
        <w:ind w:left="200" w:right="200" w:firstLine="2952" w:firstLineChars="738"/>
        <w:jc w:val="both"/>
        <w:textAlignment w:val="auto"/>
        <w:rPr>
          <w:rFonts w:hint="eastAsia" w:ascii="黑体" w:hAnsi="黑体" w:eastAsia="黑体" w:cs="黑体"/>
          <w:position w:val="10"/>
          <w:sz w:val="40"/>
          <w:szCs w:val="40"/>
          <w:lang w:val="en-US" w:eastAsia="zh-CN"/>
        </w:rPr>
      </w:pPr>
      <w:r>
        <w:rPr>
          <w:rFonts w:hint="eastAsia" w:ascii="黑体" w:hAnsi="黑体" w:eastAsia="黑体" w:cs="黑体"/>
          <w:position w:val="10"/>
          <w:sz w:val="40"/>
          <w:szCs w:val="40"/>
          <w:lang w:eastAsia="zh-CN"/>
        </w:rPr>
        <w:t>第四部分</w:t>
      </w:r>
      <w:r>
        <w:rPr>
          <w:rFonts w:hint="eastAsia" w:ascii="黑体" w:hAnsi="黑体" w:eastAsia="黑体" w:cs="黑体"/>
          <w:position w:val="10"/>
          <w:sz w:val="40"/>
          <w:szCs w:val="40"/>
          <w:lang w:val="en-US" w:eastAsia="zh-CN"/>
        </w:rPr>
        <w:t xml:space="preserve">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rPr>
          <w:rFonts w:hint="eastAsia" w:ascii="仿宋" w:hAnsi="仿宋" w:eastAsia="仿宋" w:cs="仿宋"/>
          <w:position w:val="10"/>
          <w:sz w:val="32"/>
          <w:szCs w:val="32"/>
        </w:rPr>
      </w:pPr>
      <w:bookmarkStart w:id="0" w:name="_GoBack"/>
      <w:r>
        <w:rPr>
          <w:rFonts w:hint="eastAsia" w:ascii="仿宋" w:hAnsi="仿宋" w:eastAsia="仿宋" w:cs="仿宋"/>
          <w:position w:val="10"/>
          <w:sz w:val="32"/>
          <w:szCs w:val="32"/>
        </w:rPr>
        <w:t>皮山县招商引资服务中心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bookmarkEnd w:id="0"/>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472E04"/>
    <w:rsid w:val="144A0226"/>
    <w:rsid w:val="14B150CD"/>
    <w:rsid w:val="17DC3054"/>
    <w:rsid w:val="37F10ADB"/>
    <w:rsid w:val="3BE977D2"/>
    <w:rsid w:val="3D641780"/>
    <w:rsid w:val="43B12466"/>
    <w:rsid w:val="7AB924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954</Words>
  <Characters>1014</Characters>
  <TotalTime>1</TotalTime>
  <ScaleCrop>false</ScaleCrop>
  <LinksUpToDate>false</LinksUpToDate>
  <CharactersWithSpaces>1042</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2023-04-28T10:10:00Z</dcterms:created>
  <dc:creator>Apache POI</dc:creator>
  <cp:lastModifiedBy>Administrator</cp:lastModifiedBy>
  <dcterms:modified xsi:type="dcterms:W3CDTF">2025-07-23T09:05:53Z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8DE1015F473541E6BB87CA2D5BDDAB3D</vt:lpwstr>
  </property>
  <property fmtid="{D5CDD505-2E9C-101B-9397-08002B2CF9AE}" pid="4" name="KSOTemplateDocerSaveRecord">
    <vt:lpwstr>eyJoZGlkIjoiZmJiYzM4NGMxNTU2MDViMDQzMzBjNGQ5NThlMWYxNDciLCJ1c2VySWQiOiI5NTc2ODg5MzgifQ==</vt:lpwstr>
  </property>
</Properties>
</file>