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皮山县木吉镇卫生院</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 xml:space="preserve">第一部分 </w:t>
      </w:r>
      <w:r>
        <w:rPr>
          <w:rFonts w:hint="eastAsia" w:ascii="黑体" w:hAnsi="黑体" w:eastAsia="黑体" w:cs="黑体"/>
          <w:position w:val="15"/>
          <w:sz w:val="32"/>
          <w:szCs w:val="32"/>
          <w:lang w:val="en-US" w:eastAsia="zh-CN"/>
        </w:rPr>
        <w:t>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 2023年皮山县木吉镇卫生院预算情况说明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一、关于皮山县木吉镇卫生院2023年收支预算情况的总体说明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二、关于皮山县木吉镇卫生院2023年收入预算情况说明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三、关于皮山县木吉镇卫生院2023年支出预算情况说明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四、关于皮山县木吉镇卫生院2023年财政拨款收支预算情况的总体说明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五、关于皮山县木吉镇卫生院2023年一般公共预算当年拨款情况说明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六、关于皮山县木吉镇卫生院2023年一般公共预算基本支出情况说明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七、关于皮山县木吉镇卫生院2023年一般公共预算项目支出情况说明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八、关于皮山县木吉镇卫生院2023年政府性基金预算拨款情况说明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九、关于皮山县木吉镇卫生院2023年国有资本经营预算拨款情况说明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十、关于皮山县木吉镇卫生院2023年财政拨款“三公”经费预算情况说明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sectPr>
          <w:cols w:space="720" w:num="1"/>
        </w:sectPr>
      </w:pPr>
      <w:r>
        <w:rPr>
          <w:sz w:val="32"/>
          <w:szCs w:val="32"/>
        </w:rPr>
        <w:br w:type="textWrapping"/>
      </w:r>
    </w:p>
    <w:p>
      <w:pPr>
        <w:ind w:left="200" w:right="200" w:firstLine="500"/>
        <w:jc w:val="center"/>
      </w:pPr>
      <w:r>
        <w:rPr>
          <w:rFonts w:ascii="黑体" w:hAnsi="黑体" w:eastAsia="黑体" w:cs="黑体"/>
          <w:position w:val="30"/>
          <w:sz w:val="42"/>
        </w:rPr>
        <w:t xml:space="preserve">第一部分 </w:t>
      </w:r>
      <w:r>
        <w:rPr>
          <w:rFonts w:hint="eastAsia" w:ascii="黑体" w:hAnsi="黑体" w:eastAsia="黑体" w:cs="黑体"/>
          <w:position w:val="30"/>
          <w:sz w:val="42"/>
          <w:lang w:val="en-US" w:eastAsia="zh-CN"/>
        </w:rPr>
        <w:t>2023年部门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rPr>
          <w:sz w:val="32"/>
          <w:szCs w:val="32"/>
        </w:rPr>
      </w:pPr>
      <w:r>
        <w:rPr>
          <w:rFonts w:ascii="黑体" w:hAnsi="黑体" w:eastAsia="黑体" w:cs="黑体"/>
          <w:position w:val="20"/>
          <w:sz w:val="32"/>
          <w:szCs w:val="32"/>
        </w:rPr>
        <w:t>一、主要职能</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rPr>
        <w:t>贯彻落实好自治区及地区的对医疗工作的安排部署</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提升疾病</w:t>
      </w:r>
      <w:r>
        <w:rPr>
          <w:rFonts w:hint="eastAsia" w:ascii="仿宋_GB2312" w:hAnsi="黑体" w:eastAsia="仿宋_GB2312" w:cs="宋体"/>
          <w:bCs/>
          <w:color w:val="auto"/>
          <w:kern w:val="0"/>
          <w:sz w:val="32"/>
          <w:szCs w:val="32"/>
          <w:highlight w:val="none"/>
          <w:lang w:val="en-US" w:eastAsia="zh-CN"/>
        </w:rPr>
        <w:t>防治</w:t>
      </w:r>
      <w:r>
        <w:rPr>
          <w:rFonts w:hint="eastAsia" w:ascii="仿宋_GB2312" w:hAnsi="黑体" w:eastAsia="仿宋_GB2312" w:cs="宋体"/>
          <w:bCs/>
          <w:color w:val="auto"/>
          <w:kern w:val="0"/>
          <w:sz w:val="32"/>
          <w:szCs w:val="32"/>
          <w:highlight w:val="none"/>
        </w:rPr>
        <w:t>能力；加强健康教育宣传力度</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提高广大人民群众的防病意识；完成自治区及地区下发疾病预防</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基本公共卫生</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基本医疗任务的各项指标</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强化疫情监测和报告工作规范各项预防工作；加强传染病的</w:t>
      </w:r>
      <w:r>
        <w:rPr>
          <w:rFonts w:hint="eastAsia" w:ascii="仿宋_GB2312" w:hAnsi="黑体" w:eastAsia="仿宋_GB2312" w:cs="宋体"/>
          <w:bCs/>
          <w:color w:val="auto"/>
          <w:kern w:val="0"/>
          <w:sz w:val="32"/>
          <w:szCs w:val="32"/>
          <w:highlight w:val="none"/>
          <w:lang w:eastAsia="zh-CN"/>
        </w:rPr>
        <w:t>监测预警</w:t>
      </w:r>
      <w:r>
        <w:rPr>
          <w:rFonts w:hint="eastAsia" w:ascii="仿宋_GB2312" w:hAnsi="黑体" w:eastAsia="仿宋_GB2312" w:cs="宋体"/>
          <w:bCs/>
          <w:color w:val="auto"/>
          <w:kern w:val="0"/>
          <w:sz w:val="32"/>
          <w:szCs w:val="32"/>
          <w:highlight w:val="none"/>
        </w:rPr>
        <w:t>能力及人才队伍的建设。</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仿宋" w:hAnsi="仿宋" w:eastAsia="仿宋" w:cs="仿宋"/>
          <w:position w:val="10"/>
          <w:sz w:val="32"/>
          <w:szCs w:val="32"/>
        </w:rPr>
        <w:t>皮山县木吉镇卫生院无下属预算单位</w:t>
      </w:r>
      <w:r>
        <w:rPr>
          <w:rFonts w:hint="eastAsia" w:ascii="仿宋" w:hAnsi="仿宋" w:eastAsia="仿宋" w:cs="仿宋"/>
          <w:position w:val="10"/>
          <w:sz w:val="32"/>
          <w:szCs w:val="32"/>
          <w:lang w:eastAsia="zh-CN"/>
        </w:rPr>
        <w:t>、</w:t>
      </w:r>
      <w:r>
        <w:rPr>
          <w:rFonts w:ascii="仿宋" w:hAnsi="仿宋" w:eastAsia="仿宋" w:cs="仿宋"/>
          <w:position w:val="10"/>
          <w:sz w:val="32"/>
          <w:szCs w:val="32"/>
        </w:rPr>
        <w:t>下设1</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个处室</w:t>
      </w:r>
      <w:r>
        <w:rPr>
          <w:rFonts w:hint="eastAsia" w:ascii="仿宋" w:hAnsi="仿宋" w:eastAsia="仿宋" w:cs="仿宋"/>
          <w:position w:val="10"/>
          <w:sz w:val="32"/>
          <w:szCs w:val="32"/>
          <w:lang w:eastAsia="zh-CN"/>
        </w:rPr>
        <w:t>、</w:t>
      </w:r>
      <w:r>
        <w:rPr>
          <w:rFonts w:ascii="仿宋" w:hAnsi="仿宋" w:eastAsia="仿宋" w:cs="仿宋"/>
          <w:position w:val="10"/>
          <w:sz w:val="32"/>
          <w:szCs w:val="32"/>
        </w:rPr>
        <w:t>分别是：医生办公室、门诊部、住院部、发热门诊、防疫科、妇幼保健室、公共卫生办公室、全民体检办公室</w:t>
      </w:r>
      <w:r>
        <w:rPr>
          <w:rFonts w:hint="eastAsia" w:ascii="仿宋" w:hAnsi="仿宋" w:eastAsia="仿宋" w:cs="仿宋"/>
          <w:position w:val="10"/>
          <w:sz w:val="32"/>
          <w:szCs w:val="32"/>
          <w:lang w:eastAsia="zh-CN"/>
        </w:rPr>
        <w:t>、</w:t>
      </w:r>
      <w:r>
        <w:rPr>
          <w:rFonts w:ascii="仿宋" w:hAnsi="仿宋" w:eastAsia="仿宋" w:cs="仿宋"/>
          <w:position w:val="10"/>
          <w:sz w:val="32"/>
          <w:szCs w:val="32"/>
        </w:rPr>
        <w:t>护士办公室、中医科</w:t>
      </w:r>
      <w:r>
        <w:rPr>
          <w:rFonts w:hint="eastAsia" w:ascii="仿宋" w:hAnsi="仿宋" w:eastAsia="仿宋" w:cs="仿宋"/>
          <w:position w:val="10"/>
          <w:sz w:val="32"/>
          <w:szCs w:val="32"/>
          <w:lang w:eastAsia="zh-CN"/>
        </w:rPr>
        <w:t>、</w:t>
      </w:r>
      <w:r>
        <w:rPr>
          <w:rFonts w:ascii="仿宋" w:hAnsi="仿宋" w:eastAsia="仿宋" w:cs="仿宋"/>
          <w:position w:val="10"/>
          <w:sz w:val="32"/>
          <w:szCs w:val="32"/>
        </w:rPr>
        <w:t>财务室。</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仿宋" w:hAnsi="仿宋" w:eastAsia="仿宋" w:cs="仿宋"/>
          <w:position w:val="10"/>
          <w:sz w:val="32"/>
          <w:szCs w:val="32"/>
        </w:rPr>
        <w:t>皮山县木吉镇卫生院单位编制数31</w:t>
      </w:r>
      <w:r>
        <w:rPr>
          <w:rFonts w:hint="eastAsia" w:ascii="仿宋" w:hAnsi="仿宋" w:eastAsia="仿宋" w:cs="仿宋"/>
          <w:position w:val="10"/>
          <w:sz w:val="32"/>
          <w:szCs w:val="32"/>
          <w:lang w:eastAsia="zh-CN"/>
        </w:rPr>
        <w:t>，</w:t>
      </w:r>
      <w:r>
        <w:rPr>
          <w:rFonts w:ascii="仿宋" w:hAnsi="仿宋" w:eastAsia="仿宋" w:cs="仿宋"/>
          <w:position w:val="10"/>
          <w:sz w:val="32"/>
          <w:szCs w:val="32"/>
        </w:rPr>
        <w:t>实有人数41人</w:t>
      </w:r>
      <w:r>
        <w:rPr>
          <w:rFonts w:hint="eastAsia" w:ascii="仿宋" w:hAnsi="仿宋" w:eastAsia="仿宋" w:cs="仿宋"/>
          <w:position w:val="10"/>
          <w:sz w:val="32"/>
          <w:szCs w:val="32"/>
          <w:lang w:eastAsia="zh-CN"/>
        </w:rPr>
        <w:t>。</w:t>
      </w:r>
      <w:r>
        <w:rPr>
          <w:rFonts w:ascii="仿宋" w:hAnsi="仿宋" w:eastAsia="仿宋" w:cs="仿宋"/>
          <w:position w:val="10"/>
          <w:sz w:val="32"/>
          <w:szCs w:val="32"/>
        </w:rPr>
        <w:t>其中：在职31人</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增加1人；</w:t>
      </w:r>
      <w:r>
        <w:rPr>
          <w:rFonts w:ascii="仿宋" w:hAnsi="仿宋" w:eastAsia="仿宋" w:cs="仿宋"/>
          <w:position w:val="10"/>
          <w:sz w:val="32"/>
          <w:szCs w:val="32"/>
        </w:rPr>
        <w:t>退休10人</w:t>
      </w:r>
      <w:r>
        <w:rPr>
          <w:rFonts w:hint="eastAsia" w:ascii="仿宋" w:hAnsi="仿宋" w:eastAsia="仿宋" w:cs="仿宋"/>
          <w:position w:val="10"/>
          <w:sz w:val="32"/>
          <w:szCs w:val="32"/>
          <w:lang w:eastAsia="zh-CN"/>
        </w:rPr>
        <w:t>，</w:t>
      </w:r>
      <w:r>
        <w:rPr>
          <w:rFonts w:ascii="仿宋" w:hAnsi="仿宋" w:eastAsia="仿宋" w:cs="仿宋"/>
          <w:position w:val="10"/>
          <w:sz w:val="32"/>
          <w:szCs w:val="32"/>
        </w:rPr>
        <w:t>增加0人；离休0人</w:t>
      </w:r>
      <w:r>
        <w:rPr>
          <w:rFonts w:hint="eastAsia" w:ascii="仿宋" w:hAnsi="仿宋" w:eastAsia="仿宋" w:cs="仿宋"/>
          <w:position w:val="10"/>
          <w:sz w:val="32"/>
          <w:szCs w:val="32"/>
          <w:lang w:eastAsia="zh-CN"/>
        </w:rPr>
        <w:t>，</w:t>
      </w:r>
      <w:r>
        <w:rPr>
          <w:rFonts w:ascii="仿宋" w:hAnsi="仿宋" w:eastAsia="仿宋" w:cs="仿宋"/>
          <w:position w:val="10"/>
          <w:sz w:val="32"/>
          <w:szCs w:val="32"/>
        </w:rPr>
        <w:t>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eastAsia="zh-CN"/>
        </w:rPr>
        <w:t>部门</w:t>
      </w:r>
      <w:r>
        <w:rPr>
          <w:rFonts w:ascii="黑体" w:hAnsi="黑体" w:eastAsia="黑体" w:cs="黑体"/>
          <w:position w:val="30"/>
          <w:sz w:val="42"/>
        </w:rPr>
        <w:t>预算公开表</w:t>
      </w:r>
    </w:p>
    <w:tbl>
      <w:tblPr>
        <w:tblStyle w:val="3"/>
        <w:tblW w:w="852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83"/>
        <w:gridCol w:w="1500"/>
        <w:gridCol w:w="2745"/>
        <w:gridCol w:w="199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23"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23"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83"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474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474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1608.82</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908.82</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518.75</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1726.35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700.00</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700.00</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195.41</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195.41</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195.41</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5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1804.23</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1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1804.23</w:t>
            </w:r>
          </w:p>
        </w:tc>
      </w:tr>
    </w:tbl>
    <w:p>
      <w:pPr>
        <w:sectPr>
          <w:cols w:space="720" w:num="1"/>
        </w:sectPr>
      </w:pPr>
    </w:p>
    <w:tbl>
      <w:tblPr>
        <w:tblStyle w:val="3"/>
        <w:tblW w:w="853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99"/>
        <w:gridCol w:w="281"/>
        <w:gridCol w:w="465"/>
        <w:gridCol w:w="914"/>
        <w:gridCol w:w="708"/>
        <w:gridCol w:w="618"/>
        <w:gridCol w:w="612"/>
        <w:gridCol w:w="613"/>
        <w:gridCol w:w="407"/>
        <w:gridCol w:w="469"/>
        <w:gridCol w:w="371"/>
        <w:gridCol w:w="469"/>
        <w:gridCol w:w="580"/>
        <w:gridCol w:w="518"/>
        <w:gridCol w:w="555"/>
        <w:gridCol w:w="55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06"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163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9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355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5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51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5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55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848" w:hRule="atLeast"/>
        </w:trPr>
        <w:tc>
          <w:tcPr>
            <w:tcW w:w="3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914" w:type="dxa"/>
            <w:vMerge w:val="continue"/>
          </w:tcPr>
          <w:p/>
        </w:tc>
        <w:tc>
          <w:tcPr>
            <w:tcW w:w="708" w:type="dxa"/>
            <w:vMerge w:val="continue"/>
          </w:tcP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80" w:type="dxa"/>
            <w:vMerge w:val="continue"/>
          </w:tcPr>
          <w:p/>
        </w:tc>
        <w:tc>
          <w:tcPr>
            <w:tcW w:w="518" w:type="dxa"/>
            <w:vMerge w:val="continue"/>
          </w:tcPr>
          <w:p/>
        </w:tc>
        <w:tc>
          <w:tcPr>
            <w:tcW w:w="555" w:type="dxa"/>
            <w:vMerge w:val="continue"/>
          </w:tcPr>
          <w:p/>
        </w:tc>
        <w:tc>
          <w:tcPr>
            <w:tcW w:w="55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1726.35</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830.94</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700.00</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195.41</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1204.01</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471.12</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700.00</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32.89</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1170.75</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700.00</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29.88</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33.26</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3.01</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478.28</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315.76</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315.76</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162.52</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208.58</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198.05</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198.05</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10.53</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3.85</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3.85</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4.95</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260.9</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113.86</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113.86</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147.04</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1804.23</w:t>
            </w:r>
          </w:p>
        </w:tc>
        <w:tc>
          <w:tcPr>
            <w:tcW w:w="6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908.82</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518.75</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c>
          <w:tcPr>
            <w:tcW w:w="4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700.00</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195.41</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53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92"/>
        <w:gridCol w:w="415"/>
        <w:gridCol w:w="415"/>
        <w:gridCol w:w="5040"/>
        <w:gridCol w:w="632"/>
        <w:gridCol w:w="706"/>
        <w:gridCol w:w="7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62"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2076"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6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07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2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50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7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7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040" w:type="dxa"/>
            <w:vMerge w:val="continue"/>
          </w:tcPr>
          <w:p/>
        </w:tc>
        <w:tc>
          <w:tcPr>
            <w:tcW w:w="632" w:type="dxa"/>
            <w:vMerge w:val="continue"/>
          </w:tcPr>
          <w:p/>
        </w:tc>
        <w:tc>
          <w:tcPr>
            <w:tcW w:w="706" w:type="dxa"/>
            <w:vMerge w:val="continue"/>
          </w:tcPr>
          <w:p/>
        </w:tc>
        <w:tc>
          <w:tcPr>
            <w:tcW w:w="738"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1726.35</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1285.48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1204.01</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763.14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1170.75</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729.88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33.26</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478.28</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208.58</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260.9</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0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1804.23</w:t>
            </w:r>
          </w:p>
        </w:tc>
        <w:tc>
          <w:tcPr>
            <w:tcW w:w="7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518.75</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1285.48</w:t>
            </w:r>
          </w:p>
        </w:tc>
      </w:tr>
    </w:tbl>
    <w:p>
      <w:pPr>
        <w:sectPr>
          <w:cols w:space="720" w:num="1"/>
        </w:sectPr>
      </w:pPr>
      <w:r>
        <w:br w:type="textWrapping"/>
      </w:r>
    </w:p>
    <w:tbl>
      <w:tblPr>
        <w:tblStyle w:val="3"/>
        <w:tblW w:w="855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08"/>
        <w:gridCol w:w="750"/>
        <w:gridCol w:w="2070"/>
        <w:gridCol w:w="675"/>
        <w:gridCol w:w="900"/>
        <w:gridCol w:w="1320"/>
        <w:gridCol w:w="123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53"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53"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03"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345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6195"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908.82</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908.82</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830.94</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830.94</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908.82</w:t>
            </w:r>
          </w:p>
        </w:tc>
        <w:tc>
          <w:tcPr>
            <w:tcW w:w="2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908.82</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908.82</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3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86"/>
        <w:gridCol w:w="411"/>
        <w:gridCol w:w="411"/>
        <w:gridCol w:w="4634"/>
        <w:gridCol w:w="617"/>
        <w:gridCol w:w="627"/>
        <w:gridCol w:w="11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33"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33"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2"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239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39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46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6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4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634" w:type="dxa"/>
            <w:vMerge w:val="continue"/>
          </w:tcPr>
          <w:p/>
        </w:tc>
        <w:tc>
          <w:tcPr>
            <w:tcW w:w="617" w:type="dxa"/>
            <w:vMerge w:val="continue"/>
          </w:tcPr>
          <w:p/>
        </w:tc>
        <w:tc>
          <w:tcPr>
            <w:tcW w:w="627" w:type="dxa"/>
            <w:vMerge w:val="continue"/>
          </w:tcPr>
          <w:p/>
        </w:tc>
        <w:tc>
          <w:tcPr>
            <w:tcW w:w="114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77.88</w:t>
            </w: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830.94</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471.12</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440.87</w:t>
            </w: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315.76</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198.05</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3.85</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113.86</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908.82</w:t>
            </w:r>
          </w:p>
        </w:tc>
        <w:tc>
          <w:tcPr>
            <w:tcW w:w="6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518.75</w:t>
            </w:r>
          </w:p>
        </w:tc>
        <w:tc>
          <w:tcPr>
            <w:tcW w:w="11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r>
    </w:tbl>
    <w:p>
      <w:pPr>
        <w:sectPr>
          <w:cols w:space="720" w:num="1"/>
        </w:sectPr>
      </w:pPr>
      <w:r>
        <w:br w:type="textWrapping"/>
      </w:r>
    </w:p>
    <w:tbl>
      <w:tblPr>
        <w:tblStyle w:val="3"/>
        <w:tblW w:w="852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5"/>
        <w:gridCol w:w="425"/>
        <w:gridCol w:w="5619"/>
        <w:gridCol w:w="568"/>
        <w:gridCol w:w="609"/>
        <w:gridCol w:w="69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23"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23"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49"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187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4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187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561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56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6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69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619" w:type="dxa"/>
            <w:vMerge w:val="continue"/>
          </w:tcPr>
          <w:p/>
        </w:tc>
        <w:tc>
          <w:tcPr>
            <w:tcW w:w="568" w:type="dxa"/>
            <w:vMerge w:val="continue"/>
          </w:tcPr>
          <w:p/>
        </w:tc>
        <w:tc>
          <w:tcPr>
            <w:tcW w:w="609" w:type="dxa"/>
            <w:vMerge w:val="continue"/>
          </w:tcPr>
          <w:p/>
        </w:tc>
        <w:tc>
          <w:tcPr>
            <w:tcW w:w="69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504.34</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504.34</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133.29</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133.29</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106.44</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106.44</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40.42</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40.42</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81.79</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81.79</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51.92</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21.09</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21.09</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38.94</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38.94</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14.41</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14.41</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13.81</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13.81</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0.58</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0.58</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0.02</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0.02</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518.75</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518.75</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11"/>
        <w:gridCol w:w="289"/>
        <w:gridCol w:w="289"/>
        <w:gridCol w:w="511"/>
        <w:gridCol w:w="1209"/>
        <w:gridCol w:w="631"/>
        <w:gridCol w:w="457"/>
        <w:gridCol w:w="664"/>
        <w:gridCol w:w="522"/>
        <w:gridCol w:w="611"/>
        <w:gridCol w:w="673"/>
        <w:gridCol w:w="483"/>
        <w:gridCol w:w="661"/>
        <w:gridCol w:w="315"/>
        <w:gridCol w:w="379"/>
        <w:gridCol w:w="38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93"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93"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11"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108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8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1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2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4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5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1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7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48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6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3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11" w:type="dxa"/>
            <w:vMerge w:val="continue"/>
          </w:tcPr>
          <w:p/>
        </w:tc>
        <w:tc>
          <w:tcPr>
            <w:tcW w:w="1209" w:type="dxa"/>
            <w:vMerge w:val="continue"/>
          </w:tcPr>
          <w:p/>
        </w:tc>
        <w:tc>
          <w:tcPr>
            <w:tcW w:w="631" w:type="dxa"/>
            <w:vMerge w:val="continue"/>
          </w:tcPr>
          <w:p/>
        </w:tc>
        <w:tc>
          <w:tcPr>
            <w:tcW w:w="457" w:type="dxa"/>
            <w:vMerge w:val="continue"/>
          </w:tcPr>
          <w:p/>
        </w:tc>
        <w:tc>
          <w:tcPr>
            <w:tcW w:w="664" w:type="dxa"/>
            <w:vMerge w:val="continue"/>
          </w:tcPr>
          <w:p/>
        </w:tc>
        <w:tc>
          <w:tcPr>
            <w:tcW w:w="522" w:type="dxa"/>
            <w:vMerge w:val="continue"/>
          </w:tcPr>
          <w:p/>
        </w:tc>
        <w:tc>
          <w:tcPr>
            <w:tcW w:w="611" w:type="dxa"/>
            <w:vMerge w:val="continue"/>
          </w:tcPr>
          <w:p/>
        </w:tc>
        <w:tc>
          <w:tcPr>
            <w:tcW w:w="673" w:type="dxa"/>
            <w:vMerge w:val="continue"/>
          </w:tcPr>
          <w:p/>
        </w:tc>
        <w:tc>
          <w:tcPr>
            <w:tcW w:w="483" w:type="dxa"/>
            <w:vMerge w:val="continue"/>
          </w:tcPr>
          <w:p/>
        </w:tc>
        <w:tc>
          <w:tcPr>
            <w:tcW w:w="661" w:type="dxa"/>
            <w:vMerge w:val="continue"/>
          </w:tcPr>
          <w:p/>
        </w:tc>
        <w:tc>
          <w:tcPr>
            <w:tcW w:w="315" w:type="dxa"/>
            <w:vMerge w:val="continue"/>
          </w:tcPr>
          <w:p/>
        </w:tc>
        <w:tc>
          <w:tcPr>
            <w:tcW w:w="379" w:type="dxa"/>
            <w:vMerge w:val="continue"/>
          </w:tcPr>
          <w:p/>
        </w:tc>
        <w:tc>
          <w:tcPr>
            <w:tcW w:w="388"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2023年自治区医疗服务与保障能力提升(卫生健康人才培训)补助资金</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44.06</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〔2022〕72号</w:t>
            </w:r>
            <w:r>
              <w:rPr>
                <w:rFonts w:ascii="仿宋" w:hAnsi="仿宋" w:eastAsia="仿宋" w:cs="仿宋"/>
                <w:position w:val="8"/>
                <w:sz w:val="20"/>
              </w:rPr>
              <w:t>）</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30.25</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315.76</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315.76</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2023年中央基本公共卫生服务补助资金-（和地财社【2022】71）</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156.93</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156.93</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2023年自治区基本公共卫生服务补助资金-（和地财社</w:t>
            </w:r>
            <w:r>
              <w:rPr>
                <w:rFonts w:hint="eastAsia" w:ascii="仿宋" w:hAnsi="仿宋" w:eastAsia="仿宋" w:cs="仿宋"/>
                <w:position w:val="8"/>
                <w:sz w:val="20"/>
                <w:lang w:eastAsia="zh-CN"/>
              </w:rPr>
              <w:t>〔2022〕73号</w:t>
            </w:r>
            <w:r>
              <w:rPr>
                <w:rFonts w:ascii="仿宋" w:hAnsi="仿宋" w:eastAsia="仿宋" w:cs="仿宋"/>
                <w:position w:val="8"/>
                <w:sz w:val="20"/>
              </w:rPr>
              <w:t>）</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41.12</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41.12</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2023年中央财政重大传染病防治补助资金</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3.85</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2023年自治区公共卫生服务（地方公共卫生）补助资金</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113.86</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113.86</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390.07</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2"/>
        <w:gridCol w:w="402"/>
        <w:gridCol w:w="400"/>
        <w:gridCol w:w="2538"/>
        <w:gridCol w:w="1352"/>
        <w:gridCol w:w="1990"/>
        <w:gridCol w:w="140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93"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93"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42"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475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4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75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3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9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4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38" w:type="dxa"/>
            <w:vMerge w:val="continue"/>
          </w:tcPr>
          <w:p/>
        </w:tc>
        <w:tc>
          <w:tcPr>
            <w:tcW w:w="1352" w:type="dxa"/>
            <w:vMerge w:val="continue"/>
          </w:tcPr>
          <w:p/>
        </w:tc>
        <w:tc>
          <w:tcPr>
            <w:tcW w:w="1990" w:type="dxa"/>
            <w:vMerge w:val="continue"/>
          </w:tcPr>
          <w:p/>
        </w:tc>
        <w:tc>
          <w:tcPr>
            <w:tcW w:w="140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35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2" w:type="dxa"/>
          </w:tcPr>
          <w:p/>
        </w:tc>
        <w:tc>
          <w:tcPr>
            <w:tcW w:w="402" w:type="dxa"/>
          </w:tcPr>
          <w:p/>
        </w:tc>
        <w:tc>
          <w:tcPr>
            <w:tcW w:w="400" w:type="dxa"/>
          </w:tcPr>
          <w:p/>
        </w:tc>
        <w:tc>
          <w:tcPr>
            <w:tcW w:w="2538" w:type="dxa"/>
          </w:tcPr>
          <w:p/>
        </w:tc>
        <w:tc>
          <w:tcPr>
            <w:tcW w:w="1352" w:type="dxa"/>
          </w:tcPr>
          <w:p/>
        </w:tc>
        <w:tc>
          <w:tcPr>
            <w:tcW w:w="1990" w:type="dxa"/>
          </w:tcPr>
          <w:p/>
        </w:tc>
        <w:tc>
          <w:tcPr>
            <w:tcW w:w="140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2" w:type="dxa"/>
          </w:tcPr>
          <w:p/>
        </w:tc>
        <w:tc>
          <w:tcPr>
            <w:tcW w:w="402" w:type="dxa"/>
          </w:tcPr>
          <w:p/>
        </w:tc>
        <w:tc>
          <w:tcPr>
            <w:tcW w:w="400" w:type="dxa"/>
          </w:tcPr>
          <w:p/>
        </w:tc>
        <w:tc>
          <w:tcPr>
            <w:tcW w:w="2538" w:type="dxa"/>
          </w:tcPr>
          <w:p/>
        </w:tc>
        <w:tc>
          <w:tcPr>
            <w:tcW w:w="1352" w:type="dxa"/>
          </w:tcPr>
          <w:p/>
        </w:tc>
        <w:tc>
          <w:tcPr>
            <w:tcW w:w="1990" w:type="dxa"/>
          </w:tcPr>
          <w:p/>
        </w:tc>
        <w:tc>
          <w:tcPr>
            <w:tcW w:w="140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2" w:type="dxa"/>
          </w:tcPr>
          <w:p/>
        </w:tc>
        <w:tc>
          <w:tcPr>
            <w:tcW w:w="402" w:type="dxa"/>
          </w:tcPr>
          <w:p/>
        </w:tc>
        <w:tc>
          <w:tcPr>
            <w:tcW w:w="400" w:type="dxa"/>
          </w:tcPr>
          <w:p/>
        </w:tc>
        <w:tc>
          <w:tcPr>
            <w:tcW w:w="2538" w:type="dxa"/>
          </w:tcPr>
          <w:p/>
        </w:tc>
        <w:tc>
          <w:tcPr>
            <w:tcW w:w="1352" w:type="dxa"/>
          </w:tcPr>
          <w:p/>
        </w:tc>
        <w:tc>
          <w:tcPr>
            <w:tcW w:w="1990" w:type="dxa"/>
          </w:tcPr>
          <w:p/>
        </w:tc>
        <w:tc>
          <w:tcPr>
            <w:tcW w:w="140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2" w:type="dxa"/>
          </w:tcPr>
          <w:p/>
        </w:tc>
        <w:tc>
          <w:tcPr>
            <w:tcW w:w="402" w:type="dxa"/>
          </w:tcPr>
          <w:p/>
        </w:tc>
        <w:tc>
          <w:tcPr>
            <w:tcW w:w="400" w:type="dxa"/>
          </w:tcPr>
          <w:p/>
        </w:tc>
        <w:tc>
          <w:tcPr>
            <w:tcW w:w="2538" w:type="dxa"/>
          </w:tcPr>
          <w:p/>
        </w:tc>
        <w:tc>
          <w:tcPr>
            <w:tcW w:w="1352" w:type="dxa"/>
          </w:tcPr>
          <w:p/>
        </w:tc>
        <w:tc>
          <w:tcPr>
            <w:tcW w:w="1990" w:type="dxa"/>
          </w:tcPr>
          <w:p/>
        </w:tc>
        <w:tc>
          <w:tcPr>
            <w:tcW w:w="140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2" w:type="dxa"/>
          </w:tcPr>
          <w:p/>
        </w:tc>
        <w:tc>
          <w:tcPr>
            <w:tcW w:w="402" w:type="dxa"/>
          </w:tcPr>
          <w:p/>
        </w:tc>
        <w:tc>
          <w:tcPr>
            <w:tcW w:w="400" w:type="dxa"/>
          </w:tcPr>
          <w:p/>
        </w:tc>
        <w:tc>
          <w:tcPr>
            <w:tcW w:w="2538" w:type="dxa"/>
          </w:tcPr>
          <w:p/>
        </w:tc>
        <w:tc>
          <w:tcPr>
            <w:tcW w:w="1352" w:type="dxa"/>
          </w:tcPr>
          <w:p/>
        </w:tc>
        <w:tc>
          <w:tcPr>
            <w:tcW w:w="1990" w:type="dxa"/>
          </w:tcPr>
          <w:p/>
        </w:tc>
        <w:tc>
          <w:tcPr>
            <w:tcW w:w="140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93" w:type="dxa"/>
            <w:gridSpan w:val="7"/>
            <w:tcBorders>
              <w:left w:val="nil"/>
              <w:bottom w:val="nil"/>
              <w:right w:val="nil"/>
            </w:tcBorders>
            <w:vAlign w:val="center"/>
          </w:tcPr>
          <w:p>
            <w:pPr>
              <w:ind w:left="150"/>
              <w:jc w:val="left"/>
            </w:pPr>
            <w:r>
              <w:rPr>
                <w:rFonts w:ascii="仿宋" w:hAnsi="仿宋" w:eastAsia="仿宋" w:cs="仿宋"/>
                <w:position w:val="8"/>
                <w:sz w:val="20"/>
              </w:rPr>
              <w:t>皮山县木吉镇卫生院2023年没有使用政府性基金预算拨款安排的支出，政府性基金预算支出情况表为空表。</w:t>
            </w:r>
          </w:p>
        </w:tc>
      </w:tr>
    </w:tbl>
    <w:p>
      <w:pPr>
        <w:sectPr>
          <w:cols w:space="720" w:num="1"/>
        </w:sectPr>
      </w:pPr>
      <w:r>
        <w:br w:type="textWrapping"/>
      </w:r>
    </w:p>
    <w:tbl>
      <w:tblPr>
        <w:tblStyle w:val="3"/>
        <w:tblW w:w="855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9"/>
        <w:gridCol w:w="408"/>
        <w:gridCol w:w="409"/>
        <w:gridCol w:w="3092"/>
        <w:gridCol w:w="1555"/>
        <w:gridCol w:w="1430"/>
        <w:gridCol w:w="12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53"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53"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18"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4235"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1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3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2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09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5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43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092" w:type="dxa"/>
            <w:vMerge w:val="continue"/>
          </w:tcPr>
          <w:p/>
        </w:tc>
        <w:tc>
          <w:tcPr>
            <w:tcW w:w="1555" w:type="dxa"/>
            <w:vMerge w:val="continue"/>
          </w:tcPr>
          <w:p/>
        </w:tc>
        <w:tc>
          <w:tcPr>
            <w:tcW w:w="1430" w:type="dxa"/>
            <w:vMerge w:val="continue"/>
          </w:tcPr>
          <w:p/>
        </w:tc>
        <w:tc>
          <w:tcPr>
            <w:tcW w:w="125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0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5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 w:type="dxa"/>
          </w:tcPr>
          <w:p/>
        </w:tc>
        <w:tc>
          <w:tcPr>
            <w:tcW w:w="408" w:type="dxa"/>
          </w:tcPr>
          <w:p/>
        </w:tc>
        <w:tc>
          <w:tcPr>
            <w:tcW w:w="409" w:type="dxa"/>
          </w:tcPr>
          <w:p/>
        </w:tc>
        <w:tc>
          <w:tcPr>
            <w:tcW w:w="3092" w:type="dxa"/>
          </w:tcPr>
          <w:p/>
        </w:tc>
        <w:tc>
          <w:tcPr>
            <w:tcW w:w="1555" w:type="dxa"/>
          </w:tcPr>
          <w:p/>
        </w:tc>
        <w:tc>
          <w:tcPr>
            <w:tcW w:w="1430" w:type="dxa"/>
          </w:tcPr>
          <w:p/>
        </w:tc>
        <w:tc>
          <w:tcPr>
            <w:tcW w:w="12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 w:type="dxa"/>
          </w:tcPr>
          <w:p/>
        </w:tc>
        <w:tc>
          <w:tcPr>
            <w:tcW w:w="408" w:type="dxa"/>
          </w:tcPr>
          <w:p/>
        </w:tc>
        <w:tc>
          <w:tcPr>
            <w:tcW w:w="409" w:type="dxa"/>
          </w:tcPr>
          <w:p/>
        </w:tc>
        <w:tc>
          <w:tcPr>
            <w:tcW w:w="3092" w:type="dxa"/>
          </w:tcPr>
          <w:p/>
        </w:tc>
        <w:tc>
          <w:tcPr>
            <w:tcW w:w="1555" w:type="dxa"/>
          </w:tcPr>
          <w:p/>
        </w:tc>
        <w:tc>
          <w:tcPr>
            <w:tcW w:w="1430" w:type="dxa"/>
          </w:tcPr>
          <w:p/>
        </w:tc>
        <w:tc>
          <w:tcPr>
            <w:tcW w:w="12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 w:type="dxa"/>
          </w:tcPr>
          <w:p/>
        </w:tc>
        <w:tc>
          <w:tcPr>
            <w:tcW w:w="408" w:type="dxa"/>
          </w:tcPr>
          <w:p/>
        </w:tc>
        <w:tc>
          <w:tcPr>
            <w:tcW w:w="409" w:type="dxa"/>
          </w:tcPr>
          <w:p/>
        </w:tc>
        <w:tc>
          <w:tcPr>
            <w:tcW w:w="3092" w:type="dxa"/>
          </w:tcPr>
          <w:p/>
        </w:tc>
        <w:tc>
          <w:tcPr>
            <w:tcW w:w="1555" w:type="dxa"/>
          </w:tcPr>
          <w:p/>
        </w:tc>
        <w:tc>
          <w:tcPr>
            <w:tcW w:w="1430" w:type="dxa"/>
          </w:tcPr>
          <w:p/>
        </w:tc>
        <w:tc>
          <w:tcPr>
            <w:tcW w:w="12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 w:type="dxa"/>
          </w:tcPr>
          <w:p/>
        </w:tc>
        <w:tc>
          <w:tcPr>
            <w:tcW w:w="408" w:type="dxa"/>
          </w:tcPr>
          <w:p/>
        </w:tc>
        <w:tc>
          <w:tcPr>
            <w:tcW w:w="409" w:type="dxa"/>
          </w:tcPr>
          <w:p/>
        </w:tc>
        <w:tc>
          <w:tcPr>
            <w:tcW w:w="3092" w:type="dxa"/>
          </w:tcPr>
          <w:p/>
        </w:tc>
        <w:tc>
          <w:tcPr>
            <w:tcW w:w="1555" w:type="dxa"/>
          </w:tcPr>
          <w:p/>
        </w:tc>
        <w:tc>
          <w:tcPr>
            <w:tcW w:w="1430" w:type="dxa"/>
          </w:tcPr>
          <w:p/>
        </w:tc>
        <w:tc>
          <w:tcPr>
            <w:tcW w:w="12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 w:type="dxa"/>
          </w:tcPr>
          <w:p/>
        </w:tc>
        <w:tc>
          <w:tcPr>
            <w:tcW w:w="408" w:type="dxa"/>
          </w:tcPr>
          <w:p/>
        </w:tc>
        <w:tc>
          <w:tcPr>
            <w:tcW w:w="409" w:type="dxa"/>
          </w:tcPr>
          <w:p/>
        </w:tc>
        <w:tc>
          <w:tcPr>
            <w:tcW w:w="3092" w:type="dxa"/>
          </w:tcPr>
          <w:p/>
        </w:tc>
        <w:tc>
          <w:tcPr>
            <w:tcW w:w="1555" w:type="dxa"/>
          </w:tcPr>
          <w:p/>
        </w:tc>
        <w:tc>
          <w:tcPr>
            <w:tcW w:w="1430" w:type="dxa"/>
          </w:tcPr>
          <w:p/>
        </w:tc>
        <w:tc>
          <w:tcPr>
            <w:tcW w:w="12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53" w:type="dxa"/>
            <w:gridSpan w:val="7"/>
            <w:tcBorders>
              <w:left w:val="nil"/>
              <w:bottom w:val="nil"/>
              <w:right w:val="nil"/>
            </w:tcBorders>
            <w:vAlign w:val="center"/>
          </w:tcPr>
          <w:p>
            <w:pPr>
              <w:ind w:left="150"/>
              <w:jc w:val="left"/>
            </w:pPr>
            <w:r>
              <w:rPr>
                <w:rFonts w:ascii="仿宋" w:hAnsi="仿宋" w:eastAsia="仿宋" w:cs="仿宋"/>
                <w:position w:val="8"/>
                <w:sz w:val="20"/>
              </w:rPr>
              <w:t>皮山县木吉镇卫生院2023年没有安排国有资本经营预算的支出，国有资本经营预算支出情况表为空表。</w:t>
            </w:r>
          </w:p>
        </w:tc>
      </w:tr>
    </w:tbl>
    <w:p>
      <w:pPr>
        <w:sectPr>
          <w:cols w:space="720" w:num="1"/>
        </w:sectPr>
      </w:pPr>
      <w:r>
        <w:br w:type="textWrapping"/>
      </w:r>
    </w:p>
    <w:tbl>
      <w:tblPr>
        <w:tblStyle w:val="3"/>
        <w:tblW w:w="852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278"/>
        <w:gridCol w:w="915"/>
        <w:gridCol w:w="1170"/>
        <w:gridCol w:w="1095"/>
        <w:gridCol w:w="10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23"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23"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93"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：皮山县木吉镇卫生院</w:t>
            </w:r>
          </w:p>
        </w:tc>
        <w:tc>
          <w:tcPr>
            <w:tcW w:w="333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7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9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33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78" w:type="dxa"/>
            <w:vMerge w:val="continue"/>
          </w:tcPr>
          <w:p/>
        </w:tc>
        <w:tc>
          <w:tcPr>
            <w:tcW w:w="915" w:type="dxa"/>
            <w:vMerge w:val="continue"/>
          </w:tc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23" w:type="dxa"/>
            <w:gridSpan w:val="5"/>
            <w:tcBorders>
              <w:left w:val="nil"/>
              <w:bottom w:val="nil"/>
              <w:right w:val="nil"/>
            </w:tcBorders>
            <w:vAlign w:val="center"/>
          </w:tcPr>
          <w:p>
            <w:pPr>
              <w:ind w:left="150"/>
              <w:jc w:val="left"/>
            </w:pPr>
            <w:r>
              <w:rPr>
                <w:rFonts w:ascii="仿宋" w:hAnsi="仿宋" w:eastAsia="仿宋" w:cs="仿宋"/>
                <w:position w:val="8"/>
                <w:sz w:val="20"/>
              </w:rPr>
              <w:t>皮山县木吉镇卫生院2023年没有使用财政拨款“三公”经费安排的支出，财政拨款“三公”经费支出情况表为空表。</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2023年皮山县木吉镇卫生院预算情况说明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一、关于皮山县木吉镇卫生院2023年收支预算情况的总体说明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按照全口径预算的原则，皮山县木吉镇卫生院2023年所有收入和支出均纳入单位预算管理。收支总预算1804.23万元。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收入预算包括：一般公共预算、单位资金、财政拨款。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支出预算包括：社会保障和就业支出、卫生健康支出。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二、关于皮山县木吉镇卫生院2023年收入预算情况说明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皮山县木吉镇卫生院收入预算1804.23万元，其中：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一般公共预算518.75万元，占28.75%，比上年预算减少490.87万元，下降48.62%，主要原因是人员工资福利，社会保障费，住房公积金及项目资金减少。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上级一般公共预算安排的转移支付资金390.07万元，占21.62%，比上年预算增加390.07万元，增长100.00%，</w:t>
      </w:r>
      <w:r>
        <w:rPr>
          <w:rFonts w:ascii="仿宋" w:hAnsi="仿宋" w:eastAsia="仿宋" w:cs="仿宋"/>
          <w:color w:val="auto"/>
          <w:position w:val="10"/>
          <w:sz w:val="32"/>
          <w:szCs w:val="32"/>
          <w:highlight w:val="none"/>
        </w:rPr>
        <w:t>主要原因是社会保障费上年末未纳入预算。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单位资金700万元，占38.80%，比上年预算增加180.00万元，增长34.62%，主要原因是住院门诊患者增加。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财政拨款结转195.41万元，占10.83%，比上年预算增加195.41万元，增长100.00%，</w:t>
      </w:r>
      <w:r>
        <w:rPr>
          <w:rFonts w:hint="default" w:ascii="仿宋" w:hAnsi="仿宋" w:eastAsia="仿宋" w:cs="仿宋"/>
          <w:color w:val="auto"/>
          <w:kern w:val="2"/>
          <w:position w:val="10"/>
          <w:sz w:val="32"/>
          <w:szCs w:val="32"/>
          <w:highlight w:val="none"/>
        </w:rPr>
        <w:t>主要原因是</w:t>
      </w:r>
      <w:r>
        <w:rPr>
          <w:rFonts w:hint="default" w:ascii="仿宋" w:hAnsi="仿宋" w:eastAsia="仿宋" w:cs="仿宋"/>
          <w:color w:val="auto"/>
          <w:kern w:val="2"/>
          <w:position w:val="10"/>
          <w:sz w:val="32"/>
          <w:szCs w:val="32"/>
          <w:highlight w:val="none"/>
          <w:lang w:eastAsia="zh-CN"/>
        </w:rPr>
        <w:t>本年</w:t>
      </w:r>
      <w:r>
        <w:rPr>
          <w:rFonts w:hint="default" w:ascii="仿宋" w:hAnsi="仿宋" w:eastAsia="仿宋" w:cs="仿宋"/>
          <w:color w:val="auto"/>
          <w:kern w:val="2"/>
          <w:position w:val="10"/>
          <w:sz w:val="32"/>
          <w:szCs w:val="32"/>
          <w:highlight w:val="none"/>
          <w:lang w:val="en-US" w:eastAsia="zh-CN"/>
        </w:rPr>
        <w:t>未按时支付项</w:t>
      </w:r>
      <w:r>
        <w:rPr>
          <w:rFonts w:hint="eastAsia" w:ascii="仿宋" w:hAnsi="仿宋" w:eastAsia="仿宋" w:cs="仿宋"/>
          <w:color w:val="auto"/>
          <w:kern w:val="2"/>
          <w:position w:val="10"/>
          <w:sz w:val="32"/>
          <w:szCs w:val="32"/>
          <w:highlight w:val="none"/>
          <w:lang w:val="en-US" w:eastAsia="zh-CN"/>
        </w:rPr>
        <w:t>目资</w:t>
      </w:r>
      <w:r>
        <w:rPr>
          <w:rFonts w:hint="default" w:ascii="仿宋" w:hAnsi="仿宋" w:eastAsia="仿宋" w:cs="仿宋"/>
          <w:color w:val="auto"/>
          <w:kern w:val="2"/>
          <w:position w:val="10"/>
          <w:sz w:val="32"/>
          <w:szCs w:val="32"/>
          <w:highlight w:val="none"/>
          <w:lang w:val="en-US" w:eastAsia="zh-CN"/>
        </w:rPr>
        <w:t>金，导致</w:t>
      </w:r>
      <w:r>
        <w:rPr>
          <w:rFonts w:hint="default" w:ascii="仿宋" w:hAnsi="仿宋" w:eastAsia="仿宋" w:cs="仿宋"/>
          <w:color w:val="auto"/>
          <w:kern w:val="2"/>
          <w:position w:val="10"/>
          <w:sz w:val="32"/>
          <w:szCs w:val="32"/>
          <w:highlight w:val="none"/>
          <w:lang w:eastAsia="zh-CN"/>
        </w:rPr>
        <w:t>财政拨款结转资金增加。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三、关于皮山县木吉镇卫生院2023年支出预算情况说明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皮山县木吉镇卫生院2023年支出预算1804.23万元，其中：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基本支出518.75万元，占28.75%，比上年预算增加37.13万元，增长7.71%，主要原因是工资福利，社会保障费增加。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项目支出1285.48万元，占71.25%，比上年预算增加757.48万元，增长143.46%，主要原因是住院，门诊患者增加，项目增加。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四、关于皮山县木吉镇卫生院2023年财政拨款收支预算情况的总体说明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2023年财政拨款收支总预算908.82万元。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收入预算包括：一般公共预算拨款908.82万元。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一般公共预算支出包括：社会保障和就业支出77.88万元，主要用于工资福利，社会保障支出；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卫生健康支出830.94万元，主要用于人员经费，工资保险缴费，住房公积金等支出。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五、关于皮山县木吉镇卫生院2023年一般公共预算当年拨款情况说明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皮山县木吉镇卫生院2023年一般公共预算拨款合计908.82万元，其中：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基本支出518.75万元，比上年预算增加37.13万元，增长7.71%。主要原因是：工资福利，社会保障费增加。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项目支出390.07万元，比上年预算减少137.93万元，下降26.12%。主要原因是：所需要购买的物资和办公用品等减少。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w:t>
      </w: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1.社会保障和就业支出（类）77.88万元，占8.57%。</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2.卫生健康支出（类）830.94万元，占91.43%。</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1.社会保障和就业支出（类）行政事业单位养老支出（款）机关事业单位基本养老保险缴费支出（项）:2023年预算数为51.92万元，比上年预算数增加4.20万元，增长8.80%，主要原因是：养老保险缴费基数</w:t>
      </w:r>
      <w:r>
        <w:rPr>
          <w:rFonts w:hint="eastAsia" w:ascii="仿宋" w:hAnsi="仿宋" w:eastAsia="仿宋" w:cs="仿宋"/>
          <w:position w:val="10"/>
          <w:sz w:val="32"/>
          <w:szCs w:val="32"/>
          <w:lang w:eastAsia="zh-CN"/>
        </w:rPr>
        <w:t>调整</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2.社会保障和就业支出（类）行政事业单位养老支出（款）机关事业单位职业年金缴费支出（项）:2023年预算数为25.96万元，比上年预算数增加14.33万元，增长123.22%，主要原因是：职业年金缴费基数</w:t>
      </w:r>
      <w:r>
        <w:rPr>
          <w:rFonts w:hint="eastAsia" w:ascii="仿宋" w:hAnsi="仿宋" w:eastAsia="仿宋" w:cs="仿宋"/>
          <w:position w:val="10"/>
          <w:sz w:val="32"/>
          <w:szCs w:val="32"/>
          <w:lang w:eastAsia="zh-CN"/>
        </w:rPr>
        <w:t>调整</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3.卫生健康支出（类）卫生健康管理事务（款）其他卫生健康管理事务支出（项）:2023年预算数为44.06万元，比上年预算数增加44.06万元，增长100.00%，主要原因是：上年度未纳入预算。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4.卫生健康支出（类）基层医疗卫生机构（款）乡镇卫生院（项）:2023年预算数为440.87万元，比上年预算数减少497.17万元，下降53%，主要原因是：所需要购买的物资和办公用品等减少。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5.卫生健康支出（类）基层医疗卫生机构（款）其他基层医疗卫生机构支出（项）:2023年预算数为30.25万元，比上年预算数增加30.25万元，增长100.00%，主要原因是：上年度未纳入预算。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6.卫生健康支出（类）公共卫生（款）基本公共卫生服务（项）:2023年预算数为198.05万元，比上年预算数增加198.05万元，增长100.00%，主要原因是：上年度未纳入预算。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7.卫生健康支出（类）公共卫生（款）重大公共卫生服务（项）:2023年预算数为3.85万元，比上年预算数增加3.85万元，增长100.00%，主要原因是：上年度未纳入预算。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8.卫生健康支出（类）公共卫生（款）其他公共卫生支出（项）:2023年预算数为113.86万元，比上年预算数增加113.86万元，增长100.00%，主要原因是：上年度未纳入预算。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六、关于皮山县木吉镇卫生院2023年一般公共预算基本支出情况说明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皮山县木吉镇卫生院2023年一般公共预算基本支出518.75万元，其中：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518.75万元，主要包括：基本工资、津贴补贴、奖金、绩效工资、机关事业单位基本养老保险缴费、职业年金缴费、城镇职工基本医疗保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七、关于皮山县木吉镇卫生院2023年一般公共预算项目支出情况说明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1.项目名称：2023年自治区医疗服务与保障能力提升（卫生健康人才培养）补助资金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〔2022〕78号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预算安排规模：44.640万元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项目承担单位：皮山县木吉镇卫生院。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资金分配情况：用于医疗服务与保障能力提升（卫生健康人才培养）工作。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2.项目名称：2023年自治区公共卫生服务（地方公共卫生）补助资金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〔2022〕79号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预算安排规模：113.8580万元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项目承担单位：皮山县木吉镇卫生院。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资金分配情况：用于开展全民健康体检工作。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3.项目名称：2023年中央财政基本药物制度补助资金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〔2022〕72号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预算安排规模：30.2479万元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项目承担单位：皮山县木吉镇卫生院。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资金分配情况：用于开展基本药物工作。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4.项目名称：2023年基本公共卫生服务中央财政补助资金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〔2022〕71号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预算安排规模：156.932481万元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项目承担单位：皮山县木吉镇卫生院。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资金分配情况：用于开展基本公共卫生服务工作。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5.项目名称：2023年中央财政重大传染病防治补助资金。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〔2022〕76号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预算安排规模：3.85万元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项目承担单位：皮山县木吉镇卫生院。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资金分配情况：用于开展重大传染病工作。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6.项目名称：2023年自治区公共卫生服务补助资金。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〔2022〕73号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预算安排规模：41.117055万元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项目承担单位：皮山县木吉镇卫生院。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资金分配情况：用于开展重大传染病工作。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八、关于皮山县木吉镇卫生院2023年政府性基金预算拨款情况说明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皮山县木吉镇卫生院2023年没有使用政府性基金预算拨款安排的支出，政府性基金预算支出情况表为空表。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九、关于皮山县木吉镇卫生院2023年国有资本经营预算拨款情况说明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皮山县木吉镇卫生院2023年没有使用国有资本经营预算拨款安排的支出，国有资本经营预算支出情况表为空表。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十、关于皮山县木吉镇卫生院2023年财政拨款“三公”经费预算情况说明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皮山县木吉镇卫生院2023年财政拨款“三公”经费数为0万元，其中：因公出国（境）费0万元，公务用车购置费0万元，公务用车运行费0万元，公务接待费0万元。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2023年，皮山县木吉镇卫生院本级及下属0家行政单位和0家事业单位的机关运行经费财政拨款预算0万元，比上年预算增加0万元，增长0%。主要原因是无。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2023年，皮山县木吉镇卫生院政府采购预算0万元，其中：政府采购货物预算0万元，政府采购工程预算0万元，政府采购服务预算0万元。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截至2022年底，皮山县木吉镇卫生院及下属各预算单位占用使用国有资产总体情况为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1.房屋8987平方米，价值1000万元。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2.车辆2辆，价值42.05万元；其中：一般公务用车0辆，价值0万元；执法执勤用车0辆，价值0万元；其他车辆2辆，价值42.05万元。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3.办公家具价值536.31万元。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4.其他资产价值204.32万元。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2023年，本年度预算绩效管理的财政拨款项目6个，涉及预算金额390.069436万元；非财政拨款项目0个，涉及预算金额0万元。</w:t>
      </w:r>
    </w:p>
    <w:p>
      <w:pPr>
        <w:ind w:left="200" w:right="200" w:firstLine="500"/>
        <w:jc w:val="both"/>
      </w:pPr>
    </w:p>
    <w:p>
      <w:pPr>
        <w:ind w:left="200" w:right="200" w:firstLine="500"/>
        <w:jc w:val="both"/>
      </w:pPr>
    </w:p>
    <w:tbl>
      <w:tblPr>
        <w:tblStyle w:val="3"/>
        <w:tblW w:w="850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14"/>
        <w:gridCol w:w="825"/>
        <w:gridCol w:w="1473"/>
        <w:gridCol w:w="1128"/>
        <w:gridCol w:w="1188"/>
        <w:gridCol w:w="792"/>
        <w:gridCol w:w="528"/>
        <w:gridCol w:w="1011"/>
        <w:gridCol w:w="74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0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0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86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皮山县木吉镇卫生院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8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2023年自治区医疗服务与保障能力提升（卫生健康人才培养）补助资金 和地财社</w:t>
            </w:r>
            <w:r>
              <w:rPr>
                <w:rFonts w:hint="eastAsia" w:ascii="仿宋" w:hAnsi="仿宋" w:eastAsia="仿宋" w:cs="仿宋"/>
                <w:position w:val="8"/>
                <w:sz w:val="20"/>
                <w:lang w:eastAsia="zh-CN"/>
              </w:rPr>
              <w:t>〔2022〕78号</w:t>
            </w:r>
          </w:p>
        </w:tc>
        <w:tc>
          <w:tcPr>
            <w:tcW w:w="132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76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麦麦提艾力·图尔孙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44.064</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44.064</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76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869"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1.确保单位村医生工资、津贴、福利等正常发放；
2.贯彻落实好自治区及地区疫情防控指挥部的对疫情防控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医疗服务与保障能力提升（卫生健康人才培养）补助经费</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≥4406400</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医疗服务与保障能力提升（卫生健康人才培养）补助经费节约</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W w:w="850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6"/>
        <w:gridCol w:w="1193"/>
        <w:gridCol w:w="1856"/>
        <w:gridCol w:w="1636"/>
        <w:gridCol w:w="688"/>
        <w:gridCol w:w="736"/>
        <w:gridCol w:w="604"/>
        <w:gridCol w:w="838"/>
        <w:gridCol w:w="7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0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0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2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7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皮山县木吉镇卫生院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2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1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2023年自治区公共卫生服务（地方公共卫生）补助资金 和地财社</w:t>
            </w:r>
            <w:r>
              <w:rPr>
                <w:rFonts w:hint="eastAsia" w:ascii="仿宋" w:hAnsi="仿宋" w:eastAsia="仿宋" w:cs="仿宋"/>
                <w:position w:val="8"/>
                <w:sz w:val="20"/>
                <w:lang w:eastAsia="zh-CN"/>
              </w:rPr>
              <w:t>〔2022〕79号</w:t>
            </w:r>
          </w:p>
        </w:tc>
        <w:tc>
          <w:tcPr>
            <w:tcW w:w="134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5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麦麦提艾力·图尔孙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2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113.858</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113.858</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5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2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79"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1.确保单位全民免费健康体检临聘人员工资、津贴、福利等正常发放；
2.贯彻落实好自治区及地区全民免费健康体检工作的安排部署，提升健康体检能力；加强健康教育宣传力度，提高广大人民群众的防病意识；完成自治区及地区下发疾病预防，基本公共卫生，基本医疗任务的各项指标，强化疫情监测和报告工作，规范各项防控工作；加强全民免费健康体检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公共卫生服务（地方公共卫生）补助经费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≥1138580</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公共卫生服务（地方公共卫生）补助经费节约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38" w:hRule="atLeast"/>
        </w:trPr>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8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W w:w="853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6"/>
        <w:gridCol w:w="923"/>
        <w:gridCol w:w="1888"/>
        <w:gridCol w:w="1636"/>
        <w:gridCol w:w="872"/>
        <w:gridCol w:w="901"/>
        <w:gridCol w:w="718"/>
        <w:gridCol w:w="730"/>
        <w:gridCol w:w="6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37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皮山县木吉镇卫生院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39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2023年中央财政基本药物制度补助资金 和地财社</w:t>
            </w:r>
            <w:r>
              <w:rPr>
                <w:rFonts w:hint="eastAsia" w:ascii="仿宋" w:hAnsi="仿宋" w:eastAsia="仿宋" w:cs="仿宋"/>
                <w:position w:val="8"/>
                <w:sz w:val="20"/>
                <w:lang w:eastAsia="zh-CN"/>
              </w:rPr>
              <w:t>〔2022〕72号</w:t>
            </w:r>
          </w:p>
        </w:tc>
        <w:tc>
          <w:tcPr>
            <w:tcW w:w="16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36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麦麦提艾力·图尔孙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30.2479</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6.3437</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36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379"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1.确保单位村医生基本药物制度补助劳务费等正常发放；
2.贯彻落实好中央、自治区及地区对基本药物制度补助工作的安排部署，提升疾病疫情防控能力；加强健康教育宣传力度，提高广大人民群众的防病意识；完成中央、自治区及地区下发疾病预防，基本公共卫生，基本医疗任务的各项指标，强化疫情监测和报告工作，规范各项防控工作；加强疾病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基本药物制度补助经费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≥302479</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基本药物制度补助经费节约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8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W w:w="853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29"/>
        <w:gridCol w:w="1170"/>
        <w:gridCol w:w="1677"/>
        <w:gridCol w:w="1636"/>
        <w:gridCol w:w="635"/>
        <w:gridCol w:w="836"/>
        <w:gridCol w:w="546"/>
        <w:gridCol w:w="565"/>
        <w:gridCol w:w="54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43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皮山县木吉镇卫生院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4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2023年基本公共卫生服务中央财政补助资金 和地财社</w:t>
            </w:r>
            <w:r>
              <w:rPr>
                <w:rFonts w:hint="eastAsia" w:ascii="仿宋" w:hAnsi="仿宋" w:eastAsia="仿宋" w:cs="仿宋"/>
                <w:position w:val="8"/>
                <w:sz w:val="20"/>
                <w:lang w:eastAsia="zh-CN"/>
              </w:rPr>
              <w:t>〔2022〕71号</w:t>
            </w:r>
          </w:p>
        </w:tc>
        <w:tc>
          <w:tcPr>
            <w:tcW w:w="138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10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麦麦提艾力·图尔荪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156.9324</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156.9324</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10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439"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1.确保单位基本公共卫生服务项目临聘人员工资、津贴、福利等正常发放；
2.贯彻落实好中央、自治区及地区对基本公共卫生服务项目工作的安排部署，提升基本公共卫生服务能力；加强健康教育宣传力度，提高广大人民群众的防病意识；完成中央、自治区及地区下发疾病预防，基本公共卫生，基本医疗任务的各项指标，强化疫情监测和报告工作，规范各项防控工作；加强基本公共卫生服务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≥1569324.81</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2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W w:w="850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58"/>
        <w:gridCol w:w="1346"/>
        <w:gridCol w:w="1554"/>
        <w:gridCol w:w="1636"/>
        <w:gridCol w:w="1300"/>
        <w:gridCol w:w="524"/>
        <w:gridCol w:w="511"/>
        <w:gridCol w:w="521"/>
        <w:gridCol w:w="65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0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0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0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704"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皮山县木吉镇卫生院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0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49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2023年中央财政重大传染病防治补助资金 和地财社</w:t>
            </w:r>
            <w:r>
              <w:rPr>
                <w:rFonts w:hint="eastAsia" w:ascii="仿宋" w:hAnsi="仿宋" w:eastAsia="仿宋" w:cs="仿宋"/>
                <w:position w:val="8"/>
                <w:sz w:val="20"/>
                <w:lang w:eastAsia="zh-CN"/>
              </w:rPr>
              <w:t>〔2022〕76号</w:t>
            </w:r>
          </w:p>
        </w:tc>
        <w:tc>
          <w:tcPr>
            <w:tcW w:w="103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17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麦麦提艾力·图尔荪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0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3.85</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3.85</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17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0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704"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贯彻落实好中央、自治区及地区对重大传染病防治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重大传染病防治补助经费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≥38500</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重大传染病防治补助经费节约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W w:w="853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6"/>
        <w:gridCol w:w="1129"/>
        <w:gridCol w:w="1562"/>
        <w:gridCol w:w="1636"/>
        <w:gridCol w:w="913"/>
        <w:gridCol w:w="936"/>
        <w:gridCol w:w="788"/>
        <w:gridCol w:w="697"/>
        <w:gridCol w:w="64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38"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17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皮山县木吉镇卫生院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1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2023年自治区公共卫生服务补助资金 和地财社</w:t>
            </w:r>
            <w:r>
              <w:rPr>
                <w:rFonts w:hint="eastAsia" w:ascii="仿宋" w:hAnsi="仿宋" w:eastAsia="仿宋" w:cs="仿宋"/>
                <w:position w:val="8"/>
                <w:sz w:val="20"/>
                <w:lang w:eastAsia="zh-CN"/>
              </w:rPr>
              <w:t>〔2022〕73号</w:t>
            </w:r>
          </w:p>
        </w:tc>
        <w:tc>
          <w:tcPr>
            <w:tcW w:w="172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33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麦麦提艾力·图尔荪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41.117055</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41.117055</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33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173"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1.确保单位基本公共卫生服务项目临聘人员工资、津贴、福利等正常发放；
2.贯彻落实好自治区及地区对基本公共卫生服务项目工作的安排部署，提升基本公共卫生服务能力；加强健康教育宣传力度，提高广大人民群众的防病意识；完成自治区及地区下发疾病预防，基本公共卫生，基本医疗任务的各项指标，强化疫情监测和报告工作，规范各项防控工作；加强基本公共卫生服务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≥411170.55</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pPr>
        <w:rPr>
          <w:sz w:val="32"/>
          <w:szCs w:val="32"/>
        </w:rPr>
        <w:sectPr>
          <w:cols w:space="720" w:num="1"/>
        </w:sectPr>
      </w:pPr>
      <w:r>
        <w:rPr>
          <w:sz w:val="32"/>
          <w:szCs w:val="32"/>
        </w:rPr>
        <w:br w:type="textWrapping"/>
      </w:r>
    </w:p>
    <w:p>
      <w:pPr>
        <w:ind w:left="200" w:right="200" w:firstLine="5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部门支出预算的组成部分，是各部门为完成其特定的行政任务或事业发展目标，在基本支出预算之外编制的年度项目支出计划。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outlineLvl w:val="9"/>
        <w:rPr>
          <w:sz w:val="32"/>
          <w:szCs w:val="32"/>
        </w:rPr>
      </w:pPr>
      <w:r>
        <w:rPr>
          <w:rFonts w:ascii="仿宋" w:hAnsi="仿宋" w:eastAsia="仿宋" w:cs="仿宋"/>
          <w:position w:val="10"/>
          <w:sz w:val="32"/>
          <w:szCs w:val="32"/>
        </w:rPr>
        <w:t>皮山县木吉镇卫生院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sz w:val="32"/>
          <w:szCs w:val="32"/>
        </w:rPr>
      </w:pPr>
      <w:r>
        <w:rPr>
          <w:rFonts w:ascii="仿宋" w:hAnsi="仿宋" w:eastAsia="仿宋" w:cs="仿宋"/>
          <w:position w:val="10"/>
          <w:sz w:val="32"/>
          <w:szCs w:val="32"/>
        </w:rPr>
        <w:t>2023年</w:t>
      </w:r>
      <w:bookmarkStart w:id="0" w:name="_GoBack"/>
      <w:bookmarkEnd w:id="0"/>
      <w:r>
        <w:rPr>
          <w:rFonts w:ascii="仿宋" w:hAnsi="仿宋" w:eastAsia="仿宋" w:cs="仿宋"/>
          <w:position w:val="10"/>
          <w:sz w:val="32"/>
          <w:szCs w:val="32"/>
        </w:rPr>
        <w:t>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3MzZhZTA5ZTZlMWRjODZjMmU2MzczMTdiZTRjMTYifQ=="/>
  </w:docVars>
  <w:rsids>
    <w:rsidRoot w:val="00000000"/>
    <w:rsid w:val="0242165C"/>
    <w:rsid w:val="04D622A9"/>
    <w:rsid w:val="05E710DB"/>
    <w:rsid w:val="0AC37758"/>
    <w:rsid w:val="0B106E41"/>
    <w:rsid w:val="0D645222"/>
    <w:rsid w:val="130565F2"/>
    <w:rsid w:val="14711167"/>
    <w:rsid w:val="1663076D"/>
    <w:rsid w:val="19375DC3"/>
    <w:rsid w:val="19A7582D"/>
    <w:rsid w:val="20146634"/>
    <w:rsid w:val="214E2186"/>
    <w:rsid w:val="216830DB"/>
    <w:rsid w:val="25B05051"/>
    <w:rsid w:val="26543BB8"/>
    <w:rsid w:val="288607FE"/>
    <w:rsid w:val="29B86A08"/>
    <w:rsid w:val="2C0954BB"/>
    <w:rsid w:val="2C106849"/>
    <w:rsid w:val="32676A97"/>
    <w:rsid w:val="3A802C4C"/>
    <w:rsid w:val="3CD613E9"/>
    <w:rsid w:val="43D47D05"/>
    <w:rsid w:val="4545710C"/>
    <w:rsid w:val="46767799"/>
    <w:rsid w:val="497667F4"/>
    <w:rsid w:val="49BF6D61"/>
    <w:rsid w:val="4B5A4BF4"/>
    <w:rsid w:val="4D927E9B"/>
    <w:rsid w:val="4DD23507"/>
    <w:rsid w:val="527F1783"/>
    <w:rsid w:val="53302860"/>
    <w:rsid w:val="54C524AA"/>
    <w:rsid w:val="558C146B"/>
    <w:rsid w:val="574B7E86"/>
    <w:rsid w:val="623205C0"/>
    <w:rsid w:val="64B5665E"/>
    <w:rsid w:val="65426D6C"/>
    <w:rsid w:val="679F4002"/>
    <w:rsid w:val="769B452E"/>
    <w:rsid w:val="78546D22"/>
    <w:rsid w:val="7AE53FCA"/>
    <w:rsid w:val="7BB32E10"/>
    <w:rsid w:val="7CDB38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1362</Words>
  <Characters>1550</Characters>
  <TotalTime>13</TotalTime>
  <ScaleCrop>false</ScaleCrop>
  <LinksUpToDate>false</LinksUpToDate>
  <CharactersWithSpaces>1665</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2023-05-16T08:37:00Z</dcterms:created>
  <dc:creator>Apache POI</dc:creator>
  <cp:lastModifiedBy>Administrator</cp:lastModifiedBy>
  <dcterms:modified xsi:type="dcterms:W3CDTF">2025-07-23T04:16:51Z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E94E8011CA664A26BFB5D8C53B19C93B_13</vt:lpwstr>
  </property>
  <property fmtid="{D5CDD505-2E9C-101B-9397-08002B2CF9AE}" pid="4" name="KSOTemplateDocerSaveRecord">
    <vt:lpwstr>eyJoZGlkIjoiZmJiYzM4NGMxNTU2MDViMDQzMzBjNGQ5NThlMWYxNDciLCJ1c2VySWQiOiI5NTc2ODg5MzgifQ==</vt:lpwstr>
  </property>
</Properties>
</file>