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皮山县康克尔柯尔克孜民族乡卫生院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一、部门收支总体情况表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二、部门收入总体情况表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三、部门支出总体情况表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sz w:val="32"/>
          <w:szCs w:val="32"/>
        </w:rPr>
      </w:pPr>
      <w:r>
        <w:rPr>
          <w:rFonts w:hint="eastAsia" w:ascii="仿宋_GB2312" w:hAnsi="仿宋_GB2312" w:eastAsia="仿宋_GB2312" w:cs="仿宋_GB2312"/>
          <w:bCs/>
          <w:color w:val="auto"/>
          <w:kern w:val="0"/>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第三部分 2023年</w:t>
      </w:r>
      <w:r>
        <w:rPr>
          <w:rFonts w:hint="eastAsia" w:ascii="黑体" w:hAnsi="黑体" w:eastAsia="黑体" w:cs="黑体"/>
          <w:position w:val="15"/>
          <w:sz w:val="32"/>
          <w:szCs w:val="32"/>
          <w:lang w:val="en-US" w:eastAsia="zh-CN"/>
        </w:rPr>
        <w:t>皮山县康克尔柯尔克孜民族乡卫生院</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一、关于皮山县康克尔柯尔克孜民族乡卫生院2023年收支预算情况的总体说明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二、关于皮山县康克尔柯尔克孜民族乡卫生院2023年收入预</w:t>
      </w:r>
      <w:bookmarkStart w:id="0" w:name="_GoBack"/>
      <w:bookmarkEnd w:id="0"/>
      <w:r>
        <w:rPr>
          <w:rFonts w:hint="eastAsia" w:ascii="仿宋_GB2312" w:hAnsi="仿宋_GB2312" w:eastAsia="仿宋_GB2312" w:cs="仿宋_GB2312"/>
          <w:bCs/>
          <w:color w:val="auto"/>
          <w:kern w:val="0"/>
          <w:sz w:val="32"/>
          <w:szCs w:val="32"/>
          <w:highlight w:val="none"/>
          <w:lang w:val="en-US" w:eastAsia="zh-CN" w:bidi="ar-SA"/>
        </w:rPr>
        <w:t>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三、关于皮山县康克尔柯尔克孜民族乡卫生院2023年支出预算情况说明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四、关于皮山县康克尔柯尔克孜民族乡卫生院2023年财政拨款收支预算情况的总体说明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五、关于皮山县康克尔柯尔克孜民族乡卫生院2023年一般公共预算当年拨款情况说明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六、关于皮山县康克尔柯尔克孜民族乡卫生院2023年一般公共预算基本支出情况说明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七、关于皮山县康克尔柯尔克孜民族乡卫生院2023年一般公共预算项目支出情况说明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八、关于皮山县康克尔柯尔克孜民族乡卫生院2023年政府性基金预算拨款情况说明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九、关于皮山县康克尔柯尔克孜民族乡卫生院2023年国有资本经营预算拨款情况说明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十、关于皮山县康克尔柯尔克孜民族乡卫生院2023年财政拨款“三公”经费预算情况说明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第四部分 名词解释</w:t>
      </w:r>
    </w:p>
    <w:p>
      <w:pPr>
        <w:sectPr>
          <w:pgBorders>
            <w:top w:val="none" w:sz="0" w:space="0"/>
            <w:left w:val="none" w:sz="0" w:space="0"/>
            <w:bottom w:val="none" w:sz="0" w:space="0"/>
            <w:right w:val="none" w:sz="0" w:space="0"/>
          </w:pgBorders>
          <w:cols w:space="720" w:num="1"/>
        </w:sectPr>
      </w:pPr>
      <w:r>
        <w:br w:type="textWrapping"/>
      </w:r>
    </w:p>
    <w:p>
      <w:pPr>
        <w:ind w:left="200" w:right="200" w:firstLine="500"/>
        <w:jc w:val="center"/>
      </w:pPr>
      <w:r>
        <w:rPr>
          <w:rFonts w:ascii="黑体" w:hAnsi="黑体" w:eastAsia="黑体" w:cs="黑体"/>
          <w:position w:val="30"/>
          <w:sz w:val="42"/>
        </w:rPr>
        <w:t xml:space="preserve">第一部分 </w:t>
      </w:r>
      <w:r>
        <w:rPr>
          <w:rFonts w:hint="eastAsia" w:ascii="黑体" w:hAnsi="黑体" w:eastAsia="黑体" w:cs="黑体"/>
          <w:color w:val="auto"/>
          <w:position w:val="30"/>
          <w:sz w:val="42"/>
          <w:highlight w:val="none"/>
          <w:lang w:val="en-US" w:eastAsia="zh-CN"/>
        </w:rPr>
        <w:t>202</w:t>
      </w:r>
      <w:r>
        <w:rPr>
          <w:rFonts w:hint="default" w:ascii="黑体" w:hAnsi="黑体" w:eastAsia="黑体" w:cs="黑体"/>
          <w:color w:val="auto"/>
          <w:position w:val="30"/>
          <w:sz w:val="42"/>
          <w:highlight w:val="none"/>
          <w:lang w:val="en-US" w:eastAsia="zh-CN"/>
        </w:rPr>
        <w:t>3</w:t>
      </w:r>
      <w:r>
        <w:rPr>
          <w:rFonts w:hint="eastAsia" w:ascii="黑体" w:hAnsi="黑体" w:eastAsia="黑体" w:cs="黑体"/>
          <w:color w:val="auto"/>
          <w:position w:val="30"/>
          <w:sz w:val="42"/>
          <w:highlight w:val="none"/>
          <w:lang w:val="en-US" w:eastAsia="zh-CN"/>
        </w:rPr>
        <w:t>年部门</w:t>
      </w:r>
      <w:r>
        <w:rPr>
          <w:rFonts w:ascii="黑体" w:hAnsi="黑体" w:eastAsia="黑体" w:cs="黑体"/>
          <w:color w:val="auto"/>
          <w:position w:val="30"/>
          <w:sz w:val="42"/>
          <w:highlight w:val="none"/>
        </w:rPr>
        <w:t>概况</w:t>
      </w:r>
    </w:p>
    <w:p>
      <w:pPr>
        <w:keepNext w:val="0"/>
        <w:keepLines w:val="0"/>
        <w:pageBreakBefore w:val="0"/>
        <w:widowControl w:val="0"/>
        <w:kinsoku/>
        <w:wordWrap/>
        <w:overflowPunct/>
        <w:topLinePunct w:val="0"/>
        <w:autoSpaceDE/>
        <w:autoSpaceDN/>
        <w:bidi w:val="0"/>
        <w:adjustRightInd/>
        <w:spacing w:before="150" w:line="560" w:lineRule="exact"/>
        <w:ind w:left="200" w:right="200" w:firstLine="500"/>
        <w:jc w:val="both"/>
        <w:textAlignment w:val="auto"/>
        <w:outlineLvl w:val="9"/>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一、主要职能</w:t>
      </w:r>
    </w:p>
    <w:p>
      <w:pPr>
        <w:keepNext w:val="0"/>
        <w:keepLines w:val="0"/>
        <w:pageBreakBefore w:val="0"/>
        <w:widowControl w:val="0"/>
        <w:kinsoku/>
        <w:wordWrap/>
        <w:overflowPunct/>
        <w:topLinePunct w:val="0"/>
        <w:autoSpaceDE/>
        <w:autoSpaceDN/>
        <w:bidi w:val="0"/>
        <w:adjustRightInd/>
        <w:snapToGrid w:val="0"/>
        <w:spacing w:line="560" w:lineRule="exact"/>
        <w:ind w:firstLine="645"/>
        <w:jc w:val="left"/>
        <w:textAlignment w:val="auto"/>
        <w:outlineLvl w:val="9"/>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贯彻落实好自治区及地区的对医疗工作的安排部署 ，提升疾病能力；加强健康教育宣传力度，提高广大人民群众的防病意识；完成自治区及地区下发疾病预防，基本公共卫生，基本医疗任务的各项指标，强化疫情 监测和报告工作，规范各项预防工作；加强传染病的检 测预警能力及人才队伍的建设。</w:t>
      </w:r>
    </w:p>
    <w:p>
      <w:pPr>
        <w:keepNext w:val="0"/>
        <w:keepLines w:val="0"/>
        <w:pageBreakBefore w:val="0"/>
        <w:widowControl w:val="0"/>
        <w:kinsoku/>
        <w:wordWrap/>
        <w:overflowPunct/>
        <w:topLinePunct w:val="0"/>
        <w:autoSpaceDE/>
        <w:autoSpaceDN/>
        <w:bidi w:val="0"/>
        <w:adjustRightIn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val="0"/>
        <w:spacing w:line="560" w:lineRule="exact"/>
        <w:ind w:firstLine="645"/>
        <w:jc w:val="left"/>
        <w:textAlignment w:val="auto"/>
        <w:outlineLvl w:val="9"/>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皮山县康克尔柯尔克孜民族乡卫生院无下属预算部门，下设5个科室，分别是：财务科，公共卫生科，妇保科，住院部，门诊部。</w:t>
      </w:r>
    </w:p>
    <w:p>
      <w:pPr>
        <w:keepNext w:val="0"/>
        <w:keepLines w:val="0"/>
        <w:pageBreakBefore w:val="0"/>
        <w:widowControl w:val="0"/>
        <w:kinsoku/>
        <w:wordWrap/>
        <w:overflowPunct/>
        <w:topLinePunct w:val="0"/>
        <w:autoSpaceDE/>
        <w:autoSpaceDN/>
        <w:bidi w:val="0"/>
        <w:adjustRightInd/>
        <w:snapToGrid w:val="0"/>
        <w:spacing w:line="560" w:lineRule="exact"/>
        <w:ind w:firstLine="645"/>
        <w:jc w:val="left"/>
        <w:textAlignment w:val="auto"/>
        <w:outlineLvl w:val="9"/>
        <w:rPr>
          <w:rFonts w:hint="eastAsia" w:ascii="仿宋_GB2312" w:hAnsi="Times New Roman" w:eastAsia="仿宋_GB2312" w:cs="Times New Roman"/>
          <w:color w:val="auto"/>
          <w:kern w:val="2"/>
          <w:sz w:val="32"/>
          <w:szCs w:val="32"/>
          <w:lang w:val="en-US" w:eastAsia="zh-CN" w:bidi="ar-SA"/>
        </w:rPr>
      </w:pPr>
      <w:r>
        <w:rPr>
          <w:rFonts w:hint="eastAsia" w:ascii="仿宋_GB2312" w:hAnsi="Times New Roman" w:eastAsia="仿宋_GB2312" w:cs="Times New Roman"/>
          <w:color w:val="auto"/>
          <w:kern w:val="2"/>
          <w:sz w:val="32"/>
          <w:szCs w:val="32"/>
          <w:lang w:val="en-US" w:eastAsia="zh-CN" w:bidi="ar-SA"/>
        </w:rPr>
        <w:t>皮山县康克尔柯尔克孜民族乡卫生院单位编制数9，实有人数10人，其中：在职9人，增加0人；退休1人，增加0人；离休0人，增加0人。</w:t>
      </w:r>
    </w:p>
    <w:p>
      <w:pPr>
        <w:sectPr>
          <w:pgBorders>
            <w:top w:val="none" w:sz="0" w:space="0"/>
            <w:left w:val="none" w:sz="0" w:space="0"/>
            <w:bottom w:val="none" w:sz="0" w:space="0"/>
            <w:right w:val="none" w:sz="0" w:space="0"/>
          </w:pgBorders>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49"/>
        <w:gridCol w:w="1145"/>
        <w:gridCol w:w="2905"/>
        <w:gridCol w:w="70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4"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3606" w:type="dxa"/>
            <w:gridSpan w:val="2"/>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60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190.35</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173.62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4.65</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4.65</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4.65</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1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195.00</w:t>
            </w:r>
          </w:p>
        </w:tc>
        <w:tc>
          <w:tcPr>
            <w:tcW w:w="29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195.00</w:t>
            </w: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1"/>
        <w:gridCol w:w="253"/>
        <w:gridCol w:w="253"/>
        <w:gridCol w:w="654"/>
        <w:gridCol w:w="533"/>
        <w:gridCol w:w="728"/>
        <w:gridCol w:w="616"/>
        <w:gridCol w:w="798"/>
        <w:gridCol w:w="403"/>
        <w:gridCol w:w="598"/>
        <w:gridCol w:w="431"/>
        <w:gridCol w:w="682"/>
        <w:gridCol w:w="659"/>
        <w:gridCol w:w="492"/>
        <w:gridCol w:w="479"/>
        <w:gridCol w:w="4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69"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1431"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65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256"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5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49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6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54" w:type="dxa"/>
            <w:vMerge w:val="continue"/>
          </w:tcPr>
          <w:p/>
        </w:tc>
        <w:tc>
          <w:tcPr>
            <w:tcW w:w="533" w:type="dxa"/>
            <w:vMerge w:val="continue"/>
          </w:tcP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59" w:type="dxa"/>
            <w:vMerge w:val="continue"/>
          </w:tcPr>
          <w:p/>
        </w:tc>
        <w:tc>
          <w:tcPr>
            <w:tcW w:w="492" w:type="dxa"/>
            <w:vMerge w:val="continue"/>
          </w:tcPr>
          <w:p/>
        </w:tc>
        <w:tc>
          <w:tcPr>
            <w:tcW w:w="479" w:type="dxa"/>
            <w:vMerge w:val="continue"/>
          </w:tcPr>
          <w:p/>
        </w:tc>
        <w:tc>
          <w:tcPr>
            <w:tcW w:w="46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173.62</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130.97</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4.65</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143.10</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104.26</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0.84</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141.04</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0.65</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0.19</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27.06</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3.81</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12.27</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12.27</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0.48</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2.53</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11.78</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195.00</w:t>
            </w:r>
          </w:p>
        </w:tc>
        <w:tc>
          <w:tcPr>
            <w:tcW w:w="7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79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4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38.00</w:t>
            </w:r>
          </w:p>
        </w:tc>
        <w:tc>
          <w:tcPr>
            <w:tcW w:w="4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4.65</w:t>
            </w:r>
          </w:p>
        </w:tc>
        <w:tc>
          <w:tcPr>
            <w:tcW w:w="46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8"/>
        <w:gridCol w:w="569"/>
        <w:gridCol w:w="569"/>
        <w:gridCol w:w="3850"/>
        <w:gridCol w:w="614"/>
        <w:gridCol w:w="995"/>
        <w:gridCol w:w="9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9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604"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9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0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4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8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850" w:type="dxa"/>
            <w:vMerge w:val="continue"/>
          </w:tcPr>
          <w:p/>
        </w:tc>
        <w:tc>
          <w:tcPr>
            <w:tcW w:w="614" w:type="dxa"/>
            <w:vMerge w:val="continue"/>
          </w:tcPr>
          <w:p/>
        </w:tc>
        <w:tc>
          <w:tcPr>
            <w:tcW w:w="995" w:type="dxa"/>
            <w:vMerge w:val="continue"/>
          </w:tcPr>
          <w:p/>
        </w:tc>
        <w:tc>
          <w:tcPr>
            <w:tcW w:w="99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173.62</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71.23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143.10</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141.04</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38.65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27.06</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27.06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2.53</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11.78</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1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195.00</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9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71.23</w:t>
            </w: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36"/>
        <w:gridCol w:w="836"/>
        <w:gridCol w:w="2091"/>
        <w:gridCol w:w="836"/>
        <w:gridCol w:w="931"/>
        <w:gridCol w:w="927"/>
        <w:gridCol w:w="104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499"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901"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828"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130.97</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130.97</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2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93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9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4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4"/>
        <w:gridCol w:w="551"/>
        <w:gridCol w:w="552"/>
        <w:gridCol w:w="3734"/>
        <w:gridCol w:w="849"/>
        <w:gridCol w:w="965"/>
        <w:gridCol w:w="9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621"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779"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77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734" w:type="dxa"/>
            <w:vMerge w:val="continue"/>
          </w:tcPr>
          <w:p/>
        </w:tc>
        <w:tc>
          <w:tcPr>
            <w:tcW w:w="849" w:type="dxa"/>
            <w:vMerge w:val="continue"/>
          </w:tcPr>
          <w:p/>
        </w:tc>
        <w:tc>
          <w:tcPr>
            <w:tcW w:w="965" w:type="dxa"/>
            <w:vMerge w:val="continue"/>
          </w:tcPr>
          <w:p/>
        </w:tc>
        <w:tc>
          <w:tcPr>
            <w:tcW w:w="96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21.38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130.97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104.26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102.39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152.35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04"/>
        <w:gridCol w:w="775"/>
        <w:gridCol w:w="3641"/>
        <w:gridCol w:w="960"/>
        <w:gridCol w:w="960"/>
        <w:gridCol w:w="9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52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880"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2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8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7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64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96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6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96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641" w:type="dxa"/>
            <w:vMerge w:val="continue"/>
          </w:tcPr>
          <w:p/>
        </w:tc>
        <w:tc>
          <w:tcPr>
            <w:tcW w:w="960" w:type="dxa"/>
            <w:vMerge w:val="continue"/>
          </w:tcPr>
          <w:p/>
        </w:tc>
        <w:tc>
          <w:tcPr>
            <w:tcW w:w="960" w:type="dxa"/>
            <w:vMerge w:val="continue"/>
          </w:tcPr>
          <w:p/>
        </w:tc>
        <w:tc>
          <w:tcPr>
            <w:tcW w:w="96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115.17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115.17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34.25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34.25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14.25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10.69</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6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123.77</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563"/>
        <w:gridCol w:w="1638"/>
        <w:gridCol w:w="555"/>
        <w:gridCol w:w="385"/>
        <w:gridCol w:w="585"/>
        <w:gridCol w:w="474"/>
        <w:gridCol w:w="474"/>
        <w:gridCol w:w="703"/>
        <w:gridCol w:w="355"/>
        <w:gridCol w:w="703"/>
        <w:gridCol w:w="355"/>
        <w:gridCol w:w="474"/>
        <w:gridCol w:w="3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246"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1154"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38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8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7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63" w:type="dxa"/>
            <w:vMerge w:val="continue"/>
          </w:tcPr>
          <w:p/>
        </w:tc>
        <w:tc>
          <w:tcPr>
            <w:tcW w:w="1638" w:type="dxa"/>
            <w:vMerge w:val="continue"/>
          </w:tcPr>
          <w:p/>
        </w:tc>
        <w:tc>
          <w:tcPr>
            <w:tcW w:w="555" w:type="dxa"/>
            <w:vMerge w:val="continue"/>
          </w:tcPr>
          <w:p/>
        </w:tc>
        <w:tc>
          <w:tcPr>
            <w:tcW w:w="385" w:type="dxa"/>
            <w:vMerge w:val="continue"/>
          </w:tcPr>
          <w:p/>
        </w:tc>
        <w:tc>
          <w:tcPr>
            <w:tcW w:w="585" w:type="dxa"/>
            <w:vMerge w:val="continue"/>
          </w:tcPr>
          <w:p/>
        </w:tc>
        <w:tc>
          <w:tcPr>
            <w:tcW w:w="474" w:type="dxa"/>
            <w:vMerge w:val="continue"/>
          </w:tcPr>
          <w:p/>
        </w:tc>
        <w:tc>
          <w:tcPr>
            <w:tcW w:w="474" w:type="dxa"/>
            <w:vMerge w:val="continue"/>
          </w:tcPr>
          <w:p/>
        </w:tc>
        <w:tc>
          <w:tcPr>
            <w:tcW w:w="703" w:type="dxa"/>
            <w:vMerge w:val="continue"/>
          </w:tcPr>
          <w:p/>
        </w:tc>
        <w:tc>
          <w:tcPr>
            <w:tcW w:w="355" w:type="dxa"/>
            <w:vMerge w:val="continue"/>
          </w:tcPr>
          <w:p/>
        </w:tc>
        <w:tc>
          <w:tcPr>
            <w:tcW w:w="703" w:type="dxa"/>
            <w:vMerge w:val="continue"/>
          </w:tcPr>
          <w:p/>
        </w:tc>
        <w:tc>
          <w:tcPr>
            <w:tcW w:w="355" w:type="dxa"/>
            <w:vMerge w:val="continue"/>
          </w:tcPr>
          <w:p/>
        </w:tc>
        <w:tc>
          <w:tcPr>
            <w:tcW w:w="474" w:type="dxa"/>
            <w:vMerge w:val="continue"/>
          </w:tcPr>
          <w:p/>
        </w:tc>
        <w:tc>
          <w:tcPr>
            <w:tcW w:w="3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2023年自治区医疗服务与保障能力提升(卫生健康人才培训)补助资金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3.46</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1.87</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23.25</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2023年自治区财政基本公共卫生服务补助资金-和地财社</w:t>
            </w:r>
            <w:r>
              <w:rPr>
                <w:rFonts w:hint="eastAsia" w:ascii="仿宋" w:hAnsi="仿宋" w:eastAsia="仿宋" w:cs="仿宋"/>
                <w:position w:val="8"/>
                <w:sz w:val="20"/>
                <w:lang w:eastAsia="zh-CN"/>
              </w:rPr>
              <w:t>〔2022〕73号</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2023年中央财政基本公共卫生服务补助资金-和地财社</w:t>
            </w:r>
            <w:r>
              <w:rPr>
                <w:rFonts w:hint="eastAsia" w:ascii="仿宋" w:hAnsi="仿宋" w:eastAsia="仿宋" w:cs="仿宋"/>
                <w:position w:val="8"/>
                <w:sz w:val="20"/>
                <w:lang w:eastAsia="zh-CN"/>
              </w:rPr>
              <w:t>〔2022〕71号</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9.72</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9.72</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0.85</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38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28.58</w:t>
            </w: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7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45"/>
        <w:gridCol w:w="845"/>
        <w:gridCol w:w="845"/>
        <w:gridCol w:w="3356"/>
        <w:gridCol w:w="775"/>
        <w:gridCol w:w="867"/>
        <w:gridCol w:w="86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1"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509" w:type="dxa"/>
            <w:gridSpan w:val="3"/>
            <w:tcBorders>
              <w:top w:val="nil"/>
              <w:left w:val="nil"/>
              <w:right w:val="nil"/>
            </w:tcBorders>
            <w:vAlign w:val="center"/>
          </w:tcPr>
          <w:p>
            <w:pPr>
              <w:ind w:left="150"/>
              <w:jc w:val="center"/>
            </w:pPr>
            <w:r>
              <w:rPr>
                <w:rFonts w:hint="default" w:ascii="仿宋" w:hAnsi="仿宋" w:eastAsia="仿宋" w:cs="仿宋"/>
                <w:position w:val="8"/>
                <w:sz w:val="20"/>
                <w:lang w:val="en-US"/>
              </w:rPr>
              <w:t xml:space="preserve"> </w:t>
            </w: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9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50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3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35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356" w:type="dxa"/>
            <w:vMerge w:val="continue"/>
          </w:tcPr>
          <w:p/>
        </w:tc>
        <w:tc>
          <w:tcPr>
            <w:tcW w:w="775" w:type="dxa"/>
            <w:vMerge w:val="continue"/>
          </w:tcPr>
          <w:p/>
        </w:tc>
        <w:tc>
          <w:tcPr>
            <w:tcW w:w="867" w:type="dxa"/>
            <w:vMerge w:val="continue"/>
          </w:tcPr>
          <w:p/>
        </w:tc>
        <w:tc>
          <w:tcPr>
            <w:tcW w:w="86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35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5" w:type="dxa"/>
          </w:tcPr>
          <w:p/>
        </w:tc>
        <w:tc>
          <w:tcPr>
            <w:tcW w:w="845" w:type="dxa"/>
          </w:tcPr>
          <w:p/>
        </w:tc>
        <w:tc>
          <w:tcPr>
            <w:tcW w:w="845" w:type="dxa"/>
          </w:tcPr>
          <w:p/>
        </w:tc>
        <w:tc>
          <w:tcPr>
            <w:tcW w:w="3356" w:type="dxa"/>
          </w:tcPr>
          <w:p/>
        </w:tc>
        <w:tc>
          <w:tcPr>
            <w:tcW w:w="775" w:type="dxa"/>
          </w:tcPr>
          <w:p/>
        </w:tc>
        <w:tc>
          <w:tcPr>
            <w:tcW w:w="867" w:type="dxa"/>
          </w:tcPr>
          <w:p/>
        </w:tc>
        <w:tc>
          <w:tcPr>
            <w:tcW w:w="8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5" w:type="dxa"/>
          </w:tcPr>
          <w:p/>
        </w:tc>
        <w:tc>
          <w:tcPr>
            <w:tcW w:w="845" w:type="dxa"/>
          </w:tcPr>
          <w:p/>
        </w:tc>
        <w:tc>
          <w:tcPr>
            <w:tcW w:w="845" w:type="dxa"/>
          </w:tcPr>
          <w:p/>
        </w:tc>
        <w:tc>
          <w:tcPr>
            <w:tcW w:w="3356" w:type="dxa"/>
          </w:tcPr>
          <w:p/>
        </w:tc>
        <w:tc>
          <w:tcPr>
            <w:tcW w:w="775" w:type="dxa"/>
          </w:tcPr>
          <w:p/>
        </w:tc>
        <w:tc>
          <w:tcPr>
            <w:tcW w:w="867" w:type="dxa"/>
          </w:tcPr>
          <w:p/>
        </w:tc>
        <w:tc>
          <w:tcPr>
            <w:tcW w:w="8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5" w:type="dxa"/>
          </w:tcPr>
          <w:p/>
        </w:tc>
        <w:tc>
          <w:tcPr>
            <w:tcW w:w="845" w:type="dxa"/>
          </w:tcPr>
          <w:p/>
        </w:tc>
        <w:tc>
          <w:tcPr>
            <w:tcW w:w="845" w:type="dxa"/>
          </w:tcPr>
          <w:p/>
        </w:tc>
        <w:tc>
          <w:tcPr>
            <w:tcW w:w="3356" w:type="dxa"/>
          </w:tcPr>
          <w:p/>
        </w:tc>
        <w:tc>
          <w:tcPr>
            <w:tcW w:w="775" w:type="dxa"/>
          </w:tcPr>
          <w:p/>
        </w:tc>
        <w:tc>
          <w:tcPr>
            <w:tcW w:w="867" w:type="dxa"/>
          </w:tcPr>
          <w:p/>
        </w:tc>
        <w:tc>
          <w:tcPr>
            <w:tcW w:w="8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5" w:type="dxa"/>
          </w:tcPr>
          <w:p/>
        </w:tc>
        <w:tc>
          <w:tcPr>
            <w:tcW w:w="845" w:type="dxa"/>
          </w:tcPr>
          <w:p/>
        </w:tc>
        <w:tc>
          <w:tcPr>
            <w:tcW w:w="845" w:type="dxa"/>
          </w:tcPr>
          <w:p/>
        </w:tc>
        <w:tc>
          <w:tcPr>
            <w:tcW w:w="3356" w:type="dxa"/>
          </w:tcPr>
          <w:p/>
        </w:tc>
        <w:tc>
          <w:tcPr>
            <w:tcW w:w="775" w:type="dxa"/>
          </w:tcPr>
          <w:p/>
        </w:tc>
        <w:tc>
          <w:tcPr>
            <w:tcW w:w="867" w:type="dxa"/>
          </w:tcPr>
          <w:p/>
        </w:tc>
        <w:tc>
          <w:tcPr>
            <w:tcW w:w="8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5" w:type="dxa"/>
          </w:tcPr>
          <w:p/>
        </w:tc>
        <w:tc>
          <w:tcPr>
            <w:tcW w:w="845" w:type="dxa"/>
          </w:tcPr>
          <w:p/>
        </w:tc>
        <w:tc>
          <w:tcPr>
            <w:tcW w:w="845" w:type="dxa"/>
          </w:tcPr>
          <w:p/>
        </w:tc>
        <w:tc>
          <w:tcPr>
            <w:tcW w:w="3356" w:type="dxa"/>
          </w:tcPr>
          <w:p/>
        </w:tc>
        <w:tc>
          <w:tcPr>
            <w:tcW w:w="775" w:type="dxa"/>
          </w:tcPr>
          <w:p/>
        </w:tc>
        <w:tc>
          <w:tcPr>
            <w:tcW w:w="867" w:type="dxa"/>
          </w:tcPr>
          <w:p/>
        </w:tc>
        <w:tc>
          <w:tcPr>
            <w:tcW w:w="8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皮山县康克尔柯尔克孜民族乡卫生院2023年没有使用政府性基金预算拨款安排的支出，政府性基金预算支出情况表为空表。</w:t>
            </w: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47"/>
        <w:gridCol w:w="848"/>
        <w:gridCol w:w="848"/>
        <w:gridCol w:w="3366"/>
        <w:gridCol w:w="703"/>
        <w:gridCol w:w="894"/>
        <w:gridCol w:w="8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909"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2491" w:type="dxa"/>
            <w:gridSpan w:val="3"/>
            <w:tcBorders>
              <w:top w:val="nil"/>
              <w:left w:val="nil"/>
              <w:right w:val="nil"/>
            </w:tcBorders>
            <w:vAlign w:val="center"/>
          </w:tcPr>
          <w:p>
            <w:pPr>
              <w:ind w:left="150"/>
              <w:jc w:val="center"/>
            </w:pPr>
            <w:r>
              <w:rPr>
                <w:rFonts w:hint="default" w:ascii="仿宋" w:hAnsi="仿宋" w:eastAsia="仿宋" w:cs="仿宋"/>
                <w:position w:val="8"/>
                <w:sz w:val="20"/>
                <w:lang w:val="en-US"/>
              </w:rPr>
              <w:t xml:space="preserve"> </w:t>
            </w: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90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49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4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36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7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8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366" w:type="dxa"/>
            <w:vMerge w:val="continue"/>
          </w:tcPr>
          <w:p/>
        </w:tc>
        <w:tc>
          <w:tcPr>
            <w:tcW w:w="703" w:type="dxa"/>
            <w:vMerge w:val="continue"/>
          </w:tcPr>
          <w:p/>
        </w:tc>
        <w:tc>
          <w:tcPr>
            <w:tcW w:w="894" w:type="dxa"/>
            <w:vMerge w:val="continue"/>
          </w:tcPr>
          <w:p/>
        </w:tc>
        <w:tc>
          <w:tcPr>
            <w:tcW w:w="89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3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70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9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7" w:type="dxa"/>
          </w:tcPr>
          <w:p/>
        </w:tc>
        <w:tc>
          <w:tcPr>
            <w:tcW w:w="848" w:type="dxa"/>
          </w:tcPr>
          <w:p/>
        </w:tc>
        <w:tc>
          <w:tcPr>
            <w:tcW w:w="848" w:type="dxa"/>
          </w:tcPr>
          <w:p/>
        </w:tc>
        <w:tc>
          <w:tcPr>
            <w:tcW w:w="3366" w:type="dxa"/>
          </w:tcPr>
          <w:p/>
        </w:tc>
        <w:tc>
          <w:tcPr>
            <w:tcW w:w="703" w:type="dxa"/>
          </w:tcPr>
          <w:p/>
        </w:tc>
        <w:tc>
          <w:tcPr>
            <w:tcW w:w="894" w:type="dxa"/>
          </w:tcPr>
          <w:p/>
        </w:tc>
        <w:tc>
          <w:tcPr>
            <w:tcW w:w="8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7" w:type="dxa"/>
          </w:tcPr>
          <w:p/>
        </w:tc>
        <w:tc>
          <w:tcPr>
            <w:tcW w:w="848" w:type="dxa"/>
          </w:tcPr>
          <w:p/>
        </w:tc>
        <w:tc>
          <w:tcPr>
            <w:tcW w:w="848" w:type="dxa"/>
          </w:tcPr>
          <w:p/>
        </w:tc>
        <w:tc>
          <w:tcPr>
            <w:tcW w:w="3366" w:type="dxa"/>
          </w:tcPr>
          <w:p/>
        </w:tc>
        <w:tc>
          <w:tcPr>
            <w:tcW w:w="703" w:type="dxa"/>
          </w:tcPr>
          <w:p/>
        </w:tc>
        <w:tc>
          <w:tcPr>
            <w:tcW w:w="894" w:type="dxa"/>
          </w:tcPr>
          <w:p/>
        </w:tc>
        <w:tc>
          <w:tcPr>
            <w:tcW w:w="8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7" w:type="dxa"/>
          </w:tcPr>
          <w:p/>
        </w:tc>
        <w:tc>
          <w:tcPr>
            <w:tcW w:w="848" w:type="dxa"/>
          </w:tcPr>
          <w:p/>
        </w:tc>
        <w:tc>
          <w:tcPr>
            <w:tcW w:w="848" w:type="dxa"/>
          </w:tcPr>
          <w:p/>
        </w:tc>
        <w:tc>
          <w:tcPr>
            <w:tcW w:w="3366" w:type="dxa"/>
          </w:tcPr>
          <w:p/>
        </w:tc>
        <w:tc>
          <w:tcPr>
            <w:tcW w:w="703" w:type="dxa"/>
          </w:tcPr>
          <w:p/>
        </w:tc>
        <w:tc>
          <w:tcPr>
            <w:tcW w:w="894" w:type="dxa"/>
          </w:tcPr>
          <w:p/>
        </w:tc>
        <w:tc>
          <w:tcPr>
            <w:tcW w:w="8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7" w:type="dxa"/>
          </w:tcPr>
          <w:p/>
        </w:tc>
        <w:tc>
          <w:tcPr>
            <w:tcW w:w="848" w:type="dxa"/>
          </w:tcPr>
          <w:p/>
        </w:tc>
        <w:tc>
          <w:tcPr>
            <w:tcW w:w="848" w:type="dxa"/>
          </w:tcPr>
          <w:p/>
        </w:tc>
        <w:tc>
          <w:tcPr>
            <w:tcW w:w="3366" w:type="dxa"/>
          </w:tcPr>
          <w:p/>
        </w:tc>
        <w:tc>
          <w:tcPr>
            <w:tcW w:w="703" w:type="dxa"/>
          </w:tcPr>
          <w:p/>
        </w:tc>
        <w:tc>
          <w:tcPr>
            <w:tcW w:w="894" w:type="dxa"/>
          </w:tcPr>
          <w:p/>
        </w:tc>
        <w:tc>
          <w:tcPr>
            <w:tcW w:w="8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7" w:type="dxa"/>
          </w:tcPr>
          <w:p/>
        </w:tc>
        <w:tc>
          <w:tcPr>
            <w:tcW w:w="848" w:type="dxa"/>
          </w:tcPr>
          <w:p/>
        </w:tc>
        <w:tc>
          <w:tcPr>
            <w:tcW w:w="848" w:type="dxa"/>
          </w:tcPr>
          <w:p/>
        </w:tc>
        <w:tc>
          <w:tcPr>
            <w:tcW w:w="3366" w:type="dxa"/>
          </w:tcPr>
          <w:p/>
        </w:tc>
        <w:tc>
          <w:tcPr>
            <w:tcW w:w="703" w:type="dxa"/>
          </w:tcPr>
          <w:p/>
        </w:tc>
        <w:tc>
          <w:tcPr>
            <w:tcW w:w="894" w:type="dxa"/>
          </w:tcPr>
          <w:p/>
        </w:tc>
        <w:tc>
          <w:tcPr>
            <w:tcW w:w="89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皮山县康克尔柯尔克孜民族乡卫生院2023年没有安排国有资本经营预算的支出，国有资本经营预算支出情况表为空表。</w:t>
            </w:r>
          </w:p>
        </w:tc>
      </w:tr>
    </w:tbl>
    <w:p>
      <w:pPr>
        <w:sectPr>
          <w:pgBorders>
            <w:top w:val="none" w:sz="0" w:space="0"/>
            <w:left w:val="none" w:sz="0" w:space="0"/>
            <w:bottom w:val="none" w:sz="0" w:space="0"/>
            <w:right w:val="none" w:sz="0" w:space="0"/>
          </w:pgBorders>
          <w:cols w:space="720" w:num="1"/>
        </w:sectPr>
      </w:pP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518"/>
        <w:gridCol w:w="763"/>
        <w:gridCol w:w="993"/>
        <w:gridCol w:w="851"/>
        <w:gridCol w:w="12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81"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：皮山县康克尔柯尔克孜民族乡卫生院</w:t>
            </w:r>
          </w:p>
        </w:tc>
        <w:tc>
          <w:tcPr>
            <w:tcW w:w="3119" w:type="dxa"/>
            <w:gridSpan w:val="3"/>
            <w:tcBorders>
              <w:top w:val="nil"/>
              <w:left w:val="nil"/>
              <w:right w:val="nil"/>
            </w:tcBorders>
            <w:vAlign w:val="center"/>
          </w:tcPr>
          <w:p>
            <w:pPr>
              <w:ind w:left="150"/>
              <w:jc w:val="center"/>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1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vMerge w:val="continue"/>
          </w:tcPr>
          <w:p/>
        </w:tc>
        <w:tc>
          <w:tcPr>
            <w:tcW w:w="763" w:type="dxa"/>
            <w:vMerge w:val="continue"/>
          </w:tcP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皮山县康克尔柯尔克孜民族乡卫生院2023年没有使用财政拨款“三公”经费安排的支出，财政拨款“三公”经费支出情况表为空表。</w:t>
            </w:r>
          </w:p>
        </w:tc>
      </w:tr>
    </w:tbl>
    <w:p>
      <w:pPr>
        <w:sectPr>
          <w:pgBorders>
            <w:top w:val="none" w:sz="0" w:space="0"/>
            <w:left w:val="none" w:sz="0" w:space="0"/>
            <w:bottom w:val="none" w:sz="0" w:space="0"/>
            <w:right w:val="none" w:sz="0" w:space="0"/>
          </w:pgBorders>
          <w:cols w:space="720" w:num="1"/>
        </w:sectPr>
      </w:pPr>
      <w:r>
        <w:br w:type="textWrapping"/>
      </w:r>
    </w:p>
    <w:p>
      <w:pPr>
        <w:ind w:left="200" w:right="200" w:firstLine="500"/>
        <w:jc w:val="center"/>
        <w:rPr>
          <w:rFonts w:ascii="黑体" w:hAnsi="黑体" w:eastAsia="黑体" w:cs="黑体"/>
          <w:position w:val="30"/>
          <w:sz w:val="40"/>
          <w:szCs w:val="40"/>
        </w:rPr>
      </w:pPr>
      <w:r>
        <w:rPr>
          <w:rFonts w:ascii="黑体" w:hAnsi="黑体" w:eastAsia="黑体" w:cs="黑体"/>
          <w:position w:val="30"/>
          <w:sz w:val="40"/>
          <w:szCs w:val="40"/>
        </w:rPr>
        <w:t>第三部分 2023年皮山县康克尔柯尔克孜民族乡卫生院预算情况说明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一、关于皮山县康克尔柯尔克孜民族乡卫生院2023年收支预算情况的总体说明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按照全口径预算的原则，皮山县康克尔柯尔克孜民族乡卫生院2023年所有收入和支出均纳入单位预算管理。收支总预算195万元。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支出预算包括：社会保障和就业支出、卫生健康支出。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二、关于皮山县康克尔柯尔克孜民族乡卫生院2023年收入预算情况说明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皮山县康克尔柯尔克孜民族乡卫生院收入预算195万元，其中：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一般公共预算123.77万元，占63.47%，比上年预算减少13.03万元，下降9.52%，主要原因是基本支出减少。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上级一般公共预算安排的转移支付资金28.58万元，占14.66%，比上年预算增加28.58万元，增长100.00%，主要原因是上年度未安排预算。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单位资金38万元，占19.49%，比上年预算减少0.4万元，下降1.04%，主要原因是住院患者减少。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财政拨款结转4.65万元，占2.38%，比上年预算增加4.65万元，增长100.00%，主要原因是转移支付资金上年未纳入预算。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三、关于皮山县康克尔柯尔克孜民族乡卫生院2023年支出预算情况说明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皮山县康克尔柯尔克孜民族乡卫生院2023年支出预算195万元，其中：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基本支出123.77万元，占63.47%，比上年预算减少51.44万元，下降29.36%，主要原因是公用经费减少。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项目支出71.23万元，占36.53%，比上年预算增加47.06万元，增长66.07%，主要原因是其他商品和服务支出预付款增加。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四、关于皮山县康克尔柯尔克孜民族乡卫生院2023年财政拨款收支预算情况的总体说明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2023年财政拨款收支总预算152.35万元。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收入预算包括：一般公共预算拨款152.35万元。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一般公共预算支出包括：社会保障和就业支出21.38万元，主要用于行政事业单位离退休 (款)机关事业单位基本养老保险缴费支出。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卫生健康支出130.97万元，主要用于人员工资福利，商品和服务支出。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五、关于皮山县康克尔柯尔克孜民族乡卫生院2023年一般公共预算当年拨款情况说明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皮山县康克尔柯尔克孜民族乡卫生院2023年一般公共预算拨款合计152.35万元，其中：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基本支出123.77万元，比上年预算减少29.03万元，下降19%。主要原因是：控制，人员，公用经费。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sz w:val="32"/>
          <w:szCs w:val="32"/>
        </w:rPr>
      </w:pPr>
      <w:r>
        <w:rPr>
          <w:rFonts w:hint="eastAsia" w:ascii="仿宋_GB2312" w:hAnsi="宋体" w:eastAsia="仿宋_GB2312" w:cs="宋体"/>
          <w:color w:val="auto"/>
          <w:kern w:val="0"/>
          <w:sz w:val="32"/>
          <w:szCs w:val="32"/>
          <w:highlight w:val="none"/>
          <w:lang w:val="en-US" w:eastAsia="zh-CN" w:bidi="ar-SA"/>
        </w:rPr>
        <w:t>项目支出28.58万元，比上年预算增加4.41万元，增长18.25%。主要原因是：项目资金增加。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ascii="仿宋" w:hAnsi="仿宋" w:eastAsia="仿宋" w:cs="仿宋"/>
          <w:position w:val="10"/>
          <w:sz w:val="32"/>
          <w:szCs w:val="32"/>
        </w:rPr>
        <w:t>1</w:t>
      </w:r>
      <w:r>
        <w:rPr>
          <w:rFonts w:hint="eastAsia" w:ascii="仿宋_GB2312" w:hAnsi="宋体" w:eastAsia="仿宋_GB2312" w:cs="宋体"/>
          <w:color w:val="auto"/>
          <w:kern w:val="0"/>
          <w:sz w:val="32"/>
          <w:szCs w:val="32"/>
          <w:highlight w:val="none"/>
          <w:lang w:val="en-US" w:eastAsia="zh-CN" w:bidi="ar-SA"/>
        </w:rPr>
        <w:t>.社会保障和就业支出（类）21.38万元，占14.03%。</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2.卫生健康支出（类）130.97万元，占85.97%。</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社会保障和就业支出（类）行政事业单位养老支出（款）机关事业单位基本养老保险缴费支出（项）:2023年预算数为14.25万元，比上年预算数增加0.46万元，增长3.34%，主要原因是：社会保障和住房公积金基数调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2.社会保障和就业支出（类）行政事业单位养老支出（款）机关事业单位职业年金缴费支出（项）:2023年预算数为7.13万元，比上年预算数增加0.23万元，增长3.33%，主要原因是：职业年金基数调整。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3.卫生健康支出（类）卫生健康管理事务（款）其他卫生健康管理事务支出（项）:2023年预算数为3.46万元，比上年预算数增加3.46万元，增长100.00%，主要原因是：上年未安排预算。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4.卫生健康支出（类）基层医疗卫生机构（款）乡镇卫生院（项）:2023年预算数为102.39万元，比上年预算数增加102.39万元，增长100.00%</w:t>
      </w:r>
      <w:r>
        <w:rPr>
          <w:rFonts w:hint="default" w:ascii="仿宋_GB2312" w:hAnsi="宋体" w:eastAsia="仿宋_GB2312" w:cs="宋体"/>
          <w:color w:val="auto"/>
          <w:kern w:val="0"/>
          <w:sz w:val="32"/>
          <w:szCs w:val="32"/>
          <w:highlight w:val="none"/>
          <w:lang w:val="en-US" w:eastAsia="zh-CN" w:bidi="ar-SA"/>
        </w:rPr>
        <w:t>,</w:t>
      </w:r>
      <w:r>
        <w:rPr>
          <w:rFonts w:hint="eastAsia" w:ascii="仿宋_GB2312" w:hAnsi="宋体" w:eastAsia="仿宋_GB2312" w:cs="宋体"/>
          <w:color w:val="auto"/>
          <w:kern w:val="0"/>
          <w:sz w:val="32"/>
          <w:szCs w:val="32"/>
          <w:highlight w:val="none"/>
          <w:lang w:val="en-US" w:eastAsia="zh-CN" w:bidi="ar-SA"/>
        </w:rPr>
        <w:t>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5.卫生健康支出（类）基层医疗卫生机构（款）其他基层医疗卫生机构支出（项）:2023年预算数为1.87万元，比上年预算数增加1.87万元，增长100.00%，主要原因是：上年未安排预算。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6.卫生健康支出（类）公共卫生（款）基本公共卫生服务（项）:2023年预算数为12.27万元，比上年预算数增加12.27万元，增长100.00%，主要原因是：上年未安排预算。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7.卫生健康支出（类）公共卫生（款）重大公共卫生服务（项）:2023年预算数为0.85万元，比上年预算数增加0.85万元，增长100.00%，主要原因是：上年未安排预算。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8.卫生健康支出（类）公共卫生（款）其他公共卫生支出（项）:2023年预算数为10.13万元，比上年预算数增加10.13万元，增长100.00%，主要原因是：上年未安排预算。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六、关于皮山县康克尔柯尔克孜民族乡卫生院2023年一般公共预算基本支出情况说明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皮山县康克尔柯尔克孜民族乡卫生院2023年一般公共预算基本支出123.77万元，其中：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人员经费123.77万元，主要包括：基本工资、津贴补贴、奖金、绩效工资、机关事业单位基本养老保险缴费、城镇职工基本医疗保险缴费、公务员医疗补助缴费、其他社会保障缴费、住房公积金、取暖费、退休费、奖励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七、关于皮山县康克尔柯尔克孜民族乡卫生院2023年一般公共预算项目支出情况说明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1.项目名称：2023年自治区医疗服务与保障能力提升(卫生健康人才培训)补助资金。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设立的政策依据：和地财社〔2022〕78号。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预算安排规模：3.456万元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资金分配情况：用于开展村医生生活补助。</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2.项目名称：2023年自治区公共卫生服务（地方公共卫生）补助资金。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设立的政策依据：和地财社〔2022〕79号。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预算安排规模：10.1259万元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资金分配情况：办公费，劳务费，商品和服务支出，人员经费。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3.项目名称：2023年自治区财政基本公共卫生服务补助资金-和地财社〔2022〕73号。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设立的政策依据：和地财社〔2022〕73号。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预算安排规模：2.547125万元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资金分配情况：办公费，劳务费，商品和服务支出，人员经费。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4.项目名称：2023年中央财政重大传染病防治补助资金。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设立的政策依据：和地财社〔2022〕76号。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预算安排规模：0.85万元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资金分配情况：办公费，劳务费，商品和服务支出，人员经费。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5.项目名称：2023年中央财政基本药物制度补助资金-和地财社〔2022〕72号。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设立的政策依据：和地财社〔2022〕72号。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预算安排规模：1.8737万元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资金分配情况：药品款，劳务费。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6.项目名称：2023年中央财政基本公共卫生服务补助资金-和地财社〔2022〕71号。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设立的政策依据：和地财社〔2022〕71号。</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预算安排规模：9.721675万元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项目承担单位：皮山县康克尔柯尔克孜民族乡卫生院。</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资金分配情况：办公费，劳务费，商品和服务支出，人员经费。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资金执行时间：2023年1月至12月底。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ascii="黑体" w:hAnsi="黑体" w:eastAsia="黑体" w:cs="黑体"/>
          <w:position w:val="20"/>
          <w:sz w:val="32"/>
          <w:szCs w:val="32"/>
        </w:rPr>
        <w:t>八、关于皮山县康克尔柯尔克孜民族乡卫生院2023</w:t>
      </w:r>
      <w:r>
        <w:rPr>
          <w:rFonts w:hint="eastAsia" w:ascii="仿宋_GB2312" w:hAnsi="宋体" w:eastAsia="仿宋_GB2312" w:cs="宋体"/>
          <w:color w:val="auto"/>
          <w:kern w:val="0"/>
          <w:sz w:val="32"/>
          <w:szCs w:val="32"/>
          <w:highlight w:val="none"/>
          <w:lang w:val="en-US" w:eastAsia="zh-CN" w:bidi="ar-SA"/>
        </w:rPr>
        <w:t>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九、关于皮山县康克尔柯尔克孜民族乡卫生院2023年国有资本经营预算拨款情况说明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十、关于皮山县康克尔柯尔克孜民族乡卫生院2023年财政拨款“三公”经费预算情况说明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皮山县康克尔柯尔克孜民族乡卫生院2023年财政拨款“三公”经费数为0万元，其中：因公出国（境）费0万元，公务用车购置费0万元，公务用车运行费0万元，公务接待费0万元。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因公出国（境）费增加0万元，增长0%，主要原因是未安排预算。公务用车购置费增加0万元，增长0%，主要原因是未安排预算。公务用车运行费增加0万元，增长0%，主要原因是未安排预算。公务接待费增加0万元，增长0%，主要原因是未安排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hint="eastAsia" w:ascii="仿宋_GB2312" w:hAnsi="宋体" w:eastAsia="仿宋_GB2312" w:cs="宋体"/>
          <w:color w:val="auto"/>
          <w:kern w:val="0"/>
          <w:sz w:val="32"/>
          <w:szCs w:val="32"/>
          <w:highlight w:val="none"/>
          <w:lang w:val="en-US" w:eastAsia="zh-CN" w:bidi="ar-SA"/>
        </w:rPr>
        <w:t>2023年，皮山县康克尔柯尔克孜民族乡卫生院本级及下属0家行政单位和0家事业单位的机关运行经费财政拨款预算0万元，比上年预算增加0万元，增长0%。主要原因是无下属单位。</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2023年，皮山县康克尔柯尔克孜民族乡卫生院政府采购预算0万元，其中：政府采购货物预算0万元，政府采购工程预算0万元，政府采购服务预算0万元。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截至2022年底，皮山县康克尔柯尔克孜民族乡卫生院及下属各预算部门占用使用国有资产总体情况为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_GB2312" w:hAnsi="宋体" w:eastAsia="仿宋_GB2312" w:cs="宋体"/>
          <w:color w:val="auto"/>
          <w:kern w:val="0"/>
          <w:sz w:val="32"/>
          <w:szCs w:val="32"/>
          <w:highlight w:val="none"/>
          <w:lang w:val="en-US" w:eastAsia="zh-CN" w:bidi="ar-SA"/>
        </w:rPr>
      </w:pPr>
      <w:r>
        <w:rPr>
          <w:rFonts w:hint="eastAsia" w:ascii="仿宋_GB2312" w:hAnsi="宋体" w:eastAsia="仿宋_GB2312" w:cs="宋体"/>
          <w:color w:val="auto"/>
          <w:kern w:val="0"/>
          <w:sz w:val="32"/>
          <w:szCs w:val="32"/>
          <w:highlight w:val="none"/>
          <w:lang w:val="en-US" w:eastAsia="zh-CN" w:bidi="ar-SA"/>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涉及预算金额28.57万元；当年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万元。具体情况见下表（按项目分别填报）：</w:t>
      </w:r>
    </w:p>
    <w:p>
      <w:pPr>
        <w:ind w:right="200"/>
        <w:jc w:val="center"/>
        <w:rPr>
          <w:rFonts w:ascii="黑体" w:hAnsi="黑体" w:eastAsia="黑体" w:cs="黑体"/>
          <w:position w:val="30"/>
          <w:sz w:val="42"/>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838"/>
        <w:gridCol w:w="79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202</w:t>
            </w:r>
            <w:r>
              <w:rPr>
                <w:rFonts w:hint="eastAsia" w:ascii="宋体" w:hAnsi="宋体" w:eastAsia="宋体" w:cs="宋体"/>
                <w:i w:val="0"/>
                <w:iCs w:val="0"/>
                <w:color w:val="auto"/>
                <w:sz w:val="18"/>
                <w:szCs w:val="18"/>
                <w:highlight w:val="none"/>
                <w:u w:val="none"/>
                <w:lang w:val="en-US" w:eastAsia="zh-CN"/>
              </w:rPr>
              <w:t>3</w:t>
            </w:r>
            <w:r>
              <w:rPr>
                <w:rFonts w:hint="eastAsia" w:ascii="宋体" w:hAnsi="宋体" w:eastAsia="宋体" w:cs="宋体"/>
                <w:i w:val="0"/>
                <w:iCs w:val="0"/>
                <w:color w:val="auto"/>
                <w:sz w:val="18"/>
                <w:szCs w:val="18"/>
                <w:highlight w:val="none"/>
                <w:u w:val="none"/>
              </w:rPr>
              <w:t>年自治区医疗服务与保障能力提升【卫生健康人才培养】补助资金-和地财社</w:t>
            </w:r>
            <w:r>
              <w:rPr>
                <w:rFonts w:hint="eastAsia" w:ascii="宋体" w:hAnsi="宋体" w:eastAsia="宋体" w:cs="宋体"/>
                <w:i w:val="0"/>
                <w:iCs w:val="0"/>
                <w:color w:val="auto"/>
                <w:sz w:val="18"/>
                <w:szCs w:val="18"/>
                <w:highlight w:val="none"/>
                <w:u w:val="none"/>
                <w:lang w:eastAsia="zh-CN"/>
              </w:rPr>
              <w:t>〔2022〕78号</w:t>
            </w:r>
          </w:p>
        </w:tc>
        <w:tc>
          <w:tcPr>
            <w:tcW w:w="191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3.456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3.456</w:t>
            </w:r>
          </w:p>
        </w:tc>
        <w:tc>
          <w:tcPr>
            <w:tcW w:w="8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3.456万元</w:t>
            </w:r>
          </w:p>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color w:val="auto"/>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color w:val="auto"/>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color w:val="auto"/>
              </w:rPr>
            </w:pPr>
            <w:r>
              <w:rPr>
                <w:rFonts w:hint="eastAsia" w:ascii="宋体" w:hAnsi="宋体" w:eastAsia="宋体" w:cs="宋体"/>
                <w:i w:val="0"/>
                <w:iCs w:val="0"/>
                <w:color w:val="auto"/>
                <w:sz w:val="18"/>
                <w:szCs w:val="18"/>
                <w:highlight w:val="none"/>
                <w:u w:val="none"/>
              </w:rPr>
              <w:t>促进生态环境健康发展</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color w:val="auto"/>
              </w:rPr>
            </w:pPr>
            <w:r>
              <w:rPr>
                <w:rFonts w:hint="eastAsia" w:ascii="宋体" w:hAnsi="宋体" w:eastAsia="宋体" w:cs="宋体"/>
                <w:i w:val="0"/>
                <w:iCs w:val="0"/>
                <w:color w:val="auto"/>
                <w:sz w:val="18"/>
                <w:szCs w:val="18"/>
                <w:highlight w:val="none"/>
                <w:u w:val="none"/>
              </w:rPr>
              <w:t>促进卫生事业队伍发展</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5"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color w:val="auto"/>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Calibri" w:hAnsi="Calibri"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和地财社</w:t>
            </w:r>
            <w:r>
              <w:rPr>
                <w:rFonts w:hint="eastAsia" w:ascii="Calibri" w:hAnsi="Calibri" w:eastAsia="宋体" w:cs="Calibri"/>
                <w:i w:val="0"/>
                <w:color w:val="auto"/>
                <w:kern w:val="0"/>
                <w:sz w:val="22"/>
                <w:szCs w:val="22"/>
                <w:u w:val="none"/>
                <w:lang w:val="en-US" w:eastAsia="zh-CN" w:bidi="ar"/>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both"/>
              <w:textAlignment w:val="center"/>
              <w:rPr>
                <w:rFonts w:hint="default"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color w:val="auto"/>
              </w:rPr>
              <w:t>202</w:t>
            </w:r>
            <w:r>
              <w:rPr>
                <w:rFonts w:hint="eastAsia"/>
                <w:color w:val="auto"/>
                <w:lang w:val="en-US" w:eastAsia="zh-CN"/>
              </w:rPr>
              <w:t>3</w:t>
            </w:r>
            <w:r>
              <w:rPr>
                <w:rFonts w:hint="eastAsia"/>
                <w:color w:val="auto"/>
              </w:rPr>
              <w:t>年中央基本药物制度补助资金-和地财社</w:t>
            </w:r>
            <w:r>
              <w:rPr>
                <w:rFonts w:hint="eastAsia"/>
                <w:color w:val="auto"/>
                <w:lang w:eastAsia="zh-CN"/>
              </w:rPr>
              <w:t>〔2022〕72号</w:t>
            </w:r>
          </w:p>
        </w:tc>
        <w:tc>
          <w:tcPr>
            <w:tcW w:w="191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1.8737</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1.8737</w:t>
            </w:r>
          </w:p>
        </w:tc>
        <w:tc>
          <w:tcPr>
            <w:tcW w:w="8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707"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用于开展基本药物补助资金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3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lang w:val="en-US" w:eastAsia="zh-CN"/>
              </w:rPr>
              <w:t>基本药物</w:t>
            </w: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1.8737万元</w:t>
            </w:r>
          </w:p>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w:t>
            </w:r>
          </w:p>
        </w:tc>
        <w:tc>
          <w:tcPr>
            <w:tcW w:w="838"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vAlign w:val="center"/>
          </w:tcPr>
          <w:p>
            <w:pPr>
              <w:ind w:firstLine="203" w:firstLineChars="0"/>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促进生态环境健康发展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促进卫生事业队伍发展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〔2022〕72号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83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bl>
    <w:p>
      <w:pPr>
        <w:ind w:right="200"/>
        <w:jc w:val="center"/>
        <w:rPr>
          <w:rFonts w:ascii="黑体" w:hAnsi="黑体" w:eastAsia="黑体" w:cs="黑体"/>
          <w:position w:val="30"/>
          <w:sz w:val="42"/>
        </w:rPr>
      </w:pPr>
    </w:p>
    <w:p>
      <w:pPr>
        <w:ind w:right="200"/>
        <w:jc w:val="center"/>
        <w:rPr>
          <w:rFonts w:ascii="黑体" w:hAnsi="黑体" w:eastAsia="黑体" w:cs="黑体"/>
          <w:position w:val="30"/>
          <w:sz w:val="42"/>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color w:val="auto"/>
              </w:rPr>
              <w:t>202</w:t>
            </w:r>
            <w:r>
              <w:rPr>
                <w:rFonts w:hint="eastAsia"/>
                <w:color w:val="auto"/>
                <w:lang w:val="en-US" w:eastAsia="zh-CN"/>
              </w:rPr>
              <w:t>3</w:t>
            </w:r>
            <w:r>
              <w:rPr>
                <w:rFonts w:hint="eastAsia"/>
                <w:color w:val="auto"/>
              </w:rPr>
              <w:t>年基本公共卫生服务中央财政补助资金-和地财社</w:t>
            </w:r>
            <w:r>
              <w:rPr>
                <w:rFonts w:hint="eastAsia"/>
                <w:color w:val="auto"/>
                <w:lang w:eastAsia="zh-CN"/>
              </w:rPr>
              <w:t>〔2022〕71号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9.721675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9.721675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9.721675万元</w:t>
            </w:r>
          </w:p>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促进生态环境健康发展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促进卫生事业队伍发展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〔2022〕71号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color w:val="auto"/>
              </w:rPr>
              <w:t>202</w:t>
            </w:r>
            <w:r>
              <w:rPr>
                <w:rFonts w:hint="eastAsia"/>
                <w:color w:val="auto"/>
                <w:lang w:val="en-US" w:eastAsia="zh-CN"/>
              </w:rPr>
              <w:t>3</w:t>
            </w:r>
            <w:r>
              <w:rPr>
                <w:rFonts w:hint="eastAsia"/>
                <w:color w:val="auto"/>
              </w:rPr>
              <w:t>年自治区基本公共卫生服务补助资金-和地财社</w:t>
            </w:r>
            <w:r>
              <w:rPr>
                <w:rFonts w:hint="eastAsia"/>
                <w:color w:val="auto"/>
                <w:lang w:eastAsia="zh-CN"/>
              </w:rPr>
              <w:t>〔2022〕73号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2.547125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2.547125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single" w:color="000000" w:sz="4" w:space="0"/>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用于开展自治区基本公共卫生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b/>
                <w:bCs/>
                <w:i w:val="0"/>
                <w:iCs w:val="0"/>
                <w:color w:val="auto"/>
                <w:kern w:val="0"/>
                <w:sz w:val="18"/>
                <w:szCs w:val="18"/>
                <w:highlight w:val="none"/>
                <w:u w:val="none"/>
                <w:lang w:val="en-US" w:eastAsia="zh-CN" w:bidi="ar"/>
              </w:rPr>
              <w:t>2.547125万元</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促进生态环境健康发展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促进卫生事业队伍发展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〔2022〕73号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color w:val="auto"/>
          <w:kern w:val="0"/>
          <w:sz w:val="32"/>
          <w:szCs w:val="32"/>
          <w:highlight w:val="none"/>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color w:val="auto"/>
              </w:rPr>
              <w:t>202</w:t>
            </w:r>
            <w:r>
              <w:rPr>
                <w:rFonts w:hint="eastAsia"/>
                <w:color w:val="auto"/>
                <w:lang w:val="en-US" w:eastAsia="zh-CN"/>
              </w:rPr>
              <w:t>3</w:t>
            </w:r>
            <w:r>
              <w:rPr>
                <w:rFonts w:hint="eastAsia"/>
                <w:color w:val="auto"/>
              </w:rPr>
              <w:t>年中央重大传染病防治补助资金-和地财社</w:t>
            </w:r>
            <w:r>
              <w:rPr>
                <w:rFonts w:hint="eastAsia"/>
                <w:color w:val="auto"/>
                <w:lang w:eastAsia="zh-CN"/>
              </w:rPr>
              <w:t>〔2022〕76号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0.85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0.85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用于开展医疗服务与保障能力提升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0.85万元</w:t>
            </w:r>
          </w:p>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rPr>
              <w:t>和地财社</w:t>
            </w:r>
            <w:r>
              <w:rPr>
                <w:rFonts w:hint="eastAsia"/>
                <w:color w:val="auto"/>
                <w:lang w:eastAsia="zh-CN"/>
              </w:rPr>
              <w:t>〔2022〕76号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〔2022〕76号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〔2022〕76号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〔2022〕76号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皮山县康克尔柯尔克孜乡卫生院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hint="eastAsia"/>
                <w:color w:val="auto"/>
              </w:rPr>
              <w:t>202</w:t>
            </w:r>
            <w:r>
              <w:rPr>
                <w:rFonts w:hint="eastAsia"/>
                <w:color w:val="auto"/>
                <w:lang w:val="en-US" w:eastAsia="zh-CN"/>
              </w:rPr>
              <w:t>3</w:t>
            </w:r>
            <w:r>
              <w:rPr>
                <w:rFonts w:hint="eastAsia"/>
                <w:color w:val="auto"/>
              </w:rPr>
              <w:t>年自治区公共卫生服务[地方公共卫生]补助资金-和地财社</w:t>
            </w:r>
            <w:r>
              <w:rPr>
                <w:rFonts w:hint="eastAsia"/>
                <w:color w:val="auto"/>
                <w:lang w:eastAsia="zh-CN"/>
              </w:rPr>
              <w:t>〔2022〕79号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rPr>
            </w:pPr>
            <w:r>
              <w:rPr>
                <w:rFonts w:hint="eastAsia" w:ascii="宋体" w:hAnsi="宋体" w:cs="宋体"/>
                <w:i w:val="0"/>
                <w:iCs w:val="0"/>
                <w:color w:val="auto"/>
                <w:sz w:val="18"/>
                <w:szCs w:val="18"/>
                <w:highlight w:val="none"/>
                <w:u w:val="none"/>
                <w:lang w:val="en-US" w:eastAsia="zh-CN"/>
              </w:rPr>
              <w:t>麦麦提阿卜拉·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10.1259</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10.1259</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8"/>
                <w:szCs w:val="18"/>
                <w:highlight w:val="none"/>
                <w:u w:val="none"/>
                <w:lang w:val="en-US" w:eastAsia="zh-CN"/>
              </w:rPr>
              <w:t>用于开展自治区基本公共卫生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color w:val="auto"/>
              </w:rPr>
              <w:t>劳务费，其他商品和服务支出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10.1259万元</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u w:val="none"/>
                <w:lang w:val="en-US" w:eastAsia="zh-CN" w:bidi="ar"/>
              </w:rPr>
              <w:t>100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经费节约</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80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加强基层项目服务，增强人民身体健康</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促进生态环境健康发展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distribute"/>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促进卫生事业队伍发展</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imes New Roman" w:hAnsi="Times New Roman" w:eastAsia="宋体" w:cs="Times New Roman"/>
                <w:color w:val="auto"/>
                <w:kern w:val="2"/>
                <w:sz w:val="21"/>
                <w:szCs w:val="24"/>
                <w:lang w:val="en-US" w:eastAsia="zh-CN" w:bidi="ar-SA"/>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default" w:ascii="Calibri" w:hAnsi="Calibri" w:eastAsia="宋体" w:cs="Calibri"/>
                <w:i w:val="0"/>
                <w:color w:val="auto"/>
                <w:kern w:val="0"/>
                <w:sz w:val="22"/>
                <w:szCs w:val="22"/>
                <w:u w:val="none"/>
                <w:lang w:val="en-US" w:eastAsia="zh-CN" w:bidi="ar"/>
              </w:rPr>
              <w:t>9</w:t>
            </w:r>
            <w:r>
              <w:rPr>
                <w:rFonts w:hint="eastAsia" w:ascii="Calibri" w:hAnsi="Calibri" w:cs="Calibri"/>
                <w:i w:val="0"/>
                <w:color w:val="auto"/>
                <w:kern w:val="0"/>
                <w:sz w:val="22"/>
                <w:szCs w:val="22"/>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color w:val="auto"/>
              </w:rPr>
              <w:t>和地财社</w:t>
            </w:r>
            <w:r>
              <w:rPr>
                <w:rFonts w:hint="eastAsia"/>
                <w:color w:val="auto"/>
                <w:lang w:eastAsia="zh-CN"/>
              </w:rPr>
              <w:t>〔2022〕79号</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Calibri" w:hAnsi="Calibri" w:cs="Calibri"/>
                <w:i w:val="0"/>
                <w:color w:val="auto"/>
                <w:kern w:val="0"/>
                <w:sz w:val="22"/>
                <w:szCs w:val="22"/>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Calibri" w:hAnsi="Calibri" w:eastAsia="宋体" w:cs="Calibri"/>
                <w:i w:val="0"/>
                <w:color w:val="auto"/>
                <w:kern w:val="0"/>
                <w:sz w:val="22"/>
                <w:szCs w:val="22"/>
                <w:u w:val="none"/>
                <w:lang w:val="en-US" w:eastAsia="zh-CN" w:bidi="ar"/>
              </w:rPr>
            </w:pPr>
            <w:r>
              <w:rPr>
                <w:rFonts w:hint="eastAsia" w:ascii="Calibri" w:hAnsi="Calibri" w:cs="Calibri"/>
                <w:i w:val="0"/>
                <w:color w:val="auto"/>
                <w:kern w:val="0"/>
                <w:sz w:val="22"/>
                <w:szCs w:val="22"/>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cs="宋体"/>
                <w:i w:val="0"/>
                <w:iCs w:val="0"/>
                <w:color w:val="auto"/>
                <w:sz w:val="18"/>
                <w:szCs w:val="18"/>
                <w:highlight w:val="none"/>
                <w:u w:val="none"/>
                <w:lang w:val="en-US" w:eastAsia="zh-CN"/>
              </w:rPr>
              <w:t>工资资料</w:t>
            </w:r>
          </w:p>
        </w:tc>
      </w:tr>
    </w:tbl>
    <w:p>
      <w:pPr>
        <w:ind w:right="200"/>
        <w:jc w:val="center"/>
        <w:rPr>
          <w:rFonts w:ascii="黑体" w:hAnsi="黑体" w:eastAsia="黑体" w:cs="黑体"/>
          <w:position w:val="30"/>
          <w:sz w:val="42"/>
        </w:rPr>
      </w:pPr>
    </w:p>
    <w:p>
      <w:pPr>
        <w:ind w:right="200"/>
        <w:jc w:val="center"/>
        <w:rPr>
          <w:rFonts w:ascii="黑体" w:hAnsi="黑体" w:eastAsia="黑体" w:cs="黑体"/>
          <w:position w:val="30"/>
          <w:sz w:val="42"/>
        </w:rPr>
      </w:pPr>
    </w:p>
    <w:p>
      <w:pPr>
        <w:ind w:right="200"/>
        <w:jc w:val="center"/>
        <w:rPr>
          <w:rFonts w:ascii="黑体" w:hAnsi="黑体" w:eastAsia="黑体" w:cs="黑体"/>
          <w:position w:val="30"/>
          <w:sz w:val="42"/>
        </w:rPr>
      </w:pPr>
    </w:p>
    <w:p>
      <w:pPr>
        <w:ind w:right="2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一、财政拨款：</w:t>
      </w:r>
      <w:r>
        <w:rPr>
          <w:rFonts w:hint="eastAsia" w:ascii="仿宋_GB2312" w:hAnsi="Times New Roman" w:eastAsia="仿宋_GB2312" w:cs="Times New Roman"/>
          <w:color w:val="auto"/>
          <w:kern w:val="2"/>
          <w:sz w:val="32"/>
          <w:szCs w:val="32"/>
          <w:highlight w:val="none"/>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二、一般公共预算：</w:t>
      </w:r>
      <w:r>
        <w:rPr>
          <w:rFonts w:hint="eastAsia" w:ascii="仿宋_GB2312" w:hAnsi="Times New Roman" w:eastAsia="仿宋_GB2312" w:cs="Times New Roman"/>
          <w:color w:val="auto"/>
          <w:kern w:val="2"/>
          <w:sz w:val="32"/>
          <w:szCs w:val="32"/>
          <w:highlight w:val="none"/>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三、财政专户管理资金：</w:t>
      </w:r>
      <w:r>
        <w:rPr>
          <w:rFonts w:hint="eastAsia" w:ascii="仿宋_GB2312" w:hAnsi="Times New Roman" w:eastAsia="仿宋_GB2312" w:cs="Times New Roman"/>
          <w:color w:val="auto"/>
          <w:kern w:val="2"/>
          <w:sz w:val="32"/>
          <w:szCs w:val="32"/>
          <w:highlight w:val="none"/>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四、其他资金：</w:t>
      </w:r>
      <w:r>
        <w:rPr>
          <w:rFonts w:hint="eastAsia" w:ascii="仿宋_GB2312" w:hAnsi="Times New Roman" w:eastAsia="仿宋_GB2312" w:cs="Times New Roman"/>
          <w:color w:val="auto"/>
          <w:kern w:val="2"/>
          <w:sz w:val="32"/>
          <w:szCs w:val="32"/>
          <w:highlight w:val="none"/>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五、基本支出：</w:t>
      </w:r>
      <w:r>
        <w:rPr>
          <w:rFonts w:hint="eastAsia" w:ascii="仿宋_GB2312" w:hAnsi="Times New Roman" w:eastAsia="仿宋_GB2312" w:cs="Times New Roman"/>
          <w:color w:val="auto"/>
          <w:kern w:val="2"/>
          <w:sz w:val="32"/>
          <w:szCs w:val="32"/>
          <w:highlight w:val="none"/>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六、项目支出：</w:t>
      </w:r>
      <w:r>
        <w:rPr>
          <w:rFonts w:hint="eastAsia" w:ascii="仿宋_GB2312" w:hAnsi="Times New Roman" w:eastAsia="仿宋_GB2312" w:cs="Times New Roman"/>
          <w:color w:val="auto"/>
          <w:kern w:val="2"/>
          <w:sz w:val="32"/>
          <w:szCs w:val="32"/>
          <w:highlight w:val="none"/>
          <w:lang w:val="en-US" w:eastAsia="zh-CN" w:bidi="ar-SA"/>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b/>
          <w:bCs/>
          <w:color w:val="auto"/>
          <w:kern w:val="2"/>
          <w:sz w:val="32"/>
          <w:szCs w:val="32"/>
          <w:highlight w:val="none"/>
          <w:lang w:val="en-US" w:eastAsia="zh-CN" w:bidi="ar-SA"/>
        </w:rPr>
        <w:t>七、“三公”经费：</w:t>
      </w:r>
      <w:r>
        <w:rPr>
          <w:rFonts w:hint="eastAsia" w:ascii="仿宋_GB2312" w:hAnsi="Times New Roman" w:eastAsia="仿宋_GB2312" w:cs="Times New Roman"/>
          <w:color w:val="auto"/>
          <w:kern w:val="2"/>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sz w:val="32"/>
          <w:szCs w:val="32"/>
        </w:rPr>
      </w:pPr>
      <w:r>
        <w:rPr>
          <w:rFonts w:hint="eastAsia" w:ascii="仿宋_GB2312" w:hAnsi="Times New Roman" w:eastAsia="仿宋_GB2312" w:cs="Times New Roman"/>
          <w:b/>
          <w:bCs/>
          <w:color w:val="auto"/>
          <w:kern w:val="2"/>
          <w:sz w:val="32"/>
          <w:szCs w:val="32"/>
          <w:highlight w:val="none"/>
          <w:lang w:val="en-US" w:eastAsia="zh-CN" w:bidi="ar-SA"/>
        </w:rPr>
        <w:t>八、机关运行经费：</w:t>
      </w:r>
      <w:r>
        <w:rPr>
          <w:rFonts w:hint="eastAsia" w:ascii="仿宋_GB2312" w:hAnsi="Times New Roman" w:eastAsia="仿宋_GB2312" w:cs="Times New Roman"/>
          <w:color w:val="auto"/>
          <w:kern w:val="2"/>
          <w:sz w:val="32"/>
          <w:szCs w:val="32"/>
          <w:highlight w:val="none"/>
          <w:lang w:val="en-US" w:eastAsia="zh-CN" w:bidi="ar-SA"/>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before="2250"/>
        <w:ind w:left="200" w:right="200" w:firstLine="500"/>
        <w:jc w:val="center"/>
        <w:rPr>
          <w:sz w:val="32"/>
          <w:szCs w:val="32"/>
        </w:rPr>
      </w:pPr>
      <w:r>
        <w:rPr>
          <w:rFonts w:hint="eastAsia" w:ascii="仿宋_GB2312" w:hAnsi="宋体" w:eastAsia="仿宋_GB2312" w:cs="宋体"/>
          <w:color w:val="auto"/>
          <w:kern w:val="0"/>
          <w:sz w:val="32"/>
          <w:szCs w:val="32"/>
          <w:highlight w:val="none"/>
          <w:lang w:val="en-US" w:eastAsia="zh-CN" w:bidi="ar-SA"/>
        </w:rPr>
        <w:t>皮山县康克尔柯尔克孜民族乡卫生院</w:t>
      </w:r>
    </w:p>
    <w:p>
      <w:pPr>
        <w:ind w:left="200" w:right="200" w:firstLine="500"/>
        <w:jc w:val="center"/>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6592A"/>
    <w:rsid w:val="02545D27"/>
    <w:rsid w:val="0B113617"/>
    <w:rsid w:val="0DA1417B"/>
    <w:rsid w:val="11463769"/>
    <w:rsid w:val="14587163"/>
    <w:rsid w:val="21B001E0"/>
    <w:rsid w:val="2E1C44A2"/>
    <w:rsid w:val="33553DC4"/>
    <w:rsid w:val="348D05A3"/>
    <w:rsid w:val="39B16581"/>
    <w:rsid w:val="3DD86A9B"/>
    <w:rsid w:val="45DF172F"/>
    <w:rsid w:val="46B42517"/>
    <w:rsid w:val="4CFE326D"/>
    <w:rsid w:val="50830AE8"/>
    <w:rsid w:val="62D376AD"/>
    <w:rsid w:val="6B807383"/>
    <w:rsid w:val="721C1CC4"/>
    <w:rsid w:val="72BE7846"/>
    <w:rsid w:val="76BC29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1429</Words>
  <Characters>1600</Characters>
  <TotalTime>24</TotalTime>
  <ScaleCrop>false</ScaleCrop>
  <LinksUpToDate>false</LinksUpToDate>
  <CharactersWithSpaces>1726</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2023-05-15T09:37:00Z</dcterms:created>
  <dc:creator>Apache POI</dc:creator>
  <cp:lastModifiedBy>Administrator</cp:lastModifiedBy>
  <dcterms:modified xsi:type="dcterms:W3CDTF">2025-07-23T04:01:38Z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A35C0BEF86F54CDF9BE023FD6B957EED_13</vt:lpwstr>
  </property>
</Properties>
</file>