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rPr>
          <w:rFonts w:ascii="黑体" w:hAnsi="黑体" w:eastAsia="黑体" w:cs="黑体"/>
          <w:position w:val="30"/>
          <w:sz w:val="42"/>
        </w:rP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p>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皮山县巴什兰干乡卫生院</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w:t>
      </w:r>
    </w:p>
    <w:p>
      <w:pPr>
        <w:jc w:val="center"/>
        <w:rPr>
          <w:sz w:val="40"/>
          <w:szCs w:val="40"/>
        </w:rPr>
      </w:pPr>
      <w:r>
        <w:br w:type="page"/>
      </w:r>
      <w:r>
        <w:rPr>
          <w:rFonts w:ascii="黑体" w:hAnsi="黑体" w:eastAsia="黑体" w:cs="黑体"/>
          <w:position w:val="30"/>
          <w:sz w:val="40"/>
          <w:szCs w:val="40"/>
        </w:rPr>
        <w:t>目录</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第一部分2023年部门概况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二、机构设置及人员情况</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第二部分2023年部门预算公开表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一、部门收支总体情况表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二、部门收入总体情况表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三、部门支出总体情况表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十、财政拨款“三公”经费支出情况表</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第三部分2023年部门预算情况说明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一、关于皮山县巴什兰干乡卫生院2023年收支预算情况的总体说明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二、关于皮山县巴什兰干乡卫生院2023年收入预算情况说明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三、关于皮山县巴什兰干乡卫生院2023年支出预算情况说明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四、关于皮山县巴什兰干乡卫生院2023年财政拨款收支预算情况的总体说明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五、关于皮山县巴什兰干乡卫生院2023年一般公共预算当年拨款情况说明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六、关于皮山县巴什兰干乡卫生院2023年一般公共预算基本支出情况说明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七、关于皮山县巴什兰干乡卫生院2023年一般公共预算项目支出情况说明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八、关于皮山县巴什兰干乡卫生院2023年政府性基金预算拨款情况说明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九、关于皮山县巴什兰干乡卫生院2023年国有资本经营预算拨款情况说明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十、关于皮山县巴什兰干乡卫生院2023年财政拨款“三公”经费预算情况说明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十一、其他重要事项的情况说明</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第四部分名词解释</w:t>
      </w:r>
    </w:p>
    <w:p>
      <w:pPr>
        <w:keepNext w:val="0"/>
        <w:keepLines w:val="0"/>
        <w:pageBreakBefore w:val="0"/>
        <w:kinsoku/>
        <w:wordWrap/>
        <w:overflowPunct/>
        <w:topLinePunct w:val="0"/>
        <w:autoSpaceDE/>
        <w:autoSpaceDN/>
        <w:bidi w:val="0"/>
        <w:adjustRightInd/>
        <w:snapToGrid/>
        <w:spacing w:line="560" w:lineRule="exact"/>
        <w:textAlignment w:val="auto"/>
        <w:rPr>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sz w:val="32"/>
          <w:szCs w:val="32"/>
        </w:rPr>
      </w:pPr>
    </w:p>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outlineLvl w:val="9"/>
        <w:rPr>
          <w:rFonts w:hint="eastAsia" w:ascii="黑体" w:hAnsi="黑体" w:eastAsia="黑体" w:cs="黑体"/>
          <w:b w:val="0"/>
          <w:bCs/>
          <w:color w:val="auto"/>
          <w:kern w:val="0"/>
          <w:position w:val="0"/>
          <w:sz w:val="40"/>
          <w:szCs w:val="40"/>
          <w:highlight w:val="none"/>
          <w:lang w:val="en-US" w:eastAsia="zh-CN" w:bidi="ar-SA"/>
        </w:rPr>
      </w:pPr>
      <w:r>
        <w:rPr>
          <w:rFonts w:hint="eastAsia" w:ascii="黑体" w:hAnsi="黑体" w:eastAsia="黑体" w:cs="黑体"/>
          <w:b w:val="0"/>
          <w:bCs/>
          <w:color w:val="auto"/>
          <w:kern w:val="0"/>
          <w:position w:val="0"/>
          <w:sz w:val="40"/>
          <w:szCs w:val="40"/>
          <w:highlight w:val="none"/>
          <w:lang w:val="en-US" w:eastAsia="zh-CN" w:bidi="ar-SA"/>
        </w:rPr>
        <w:t>第一部分2023年部门概况</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一、主要职能</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rPr>
        <w:t>贯彻落实好自治区及地区的对医疗工作的安排部署，提升疾病</w:t>
      </w:r>
      <w:r>
        <w:rPr>
          <w:rFonts w:hint="eastAsia" w:ascii="仿宋_GB2312" w:hAnsi="黑体" w:eastAsia="仿宋_GB2312" w:cs="宋体"/>
          <w:bCs/>
          <w:color w:val="auto"/>
          <w:kern w:val="0"/>
          <w:sz w:val="32"/>
          <w:szCs w:val="32"/>
          <w:highlight w:val="none"/>
          <w:lang w:val="en-US" w:eastAsia="zh-CN"/>
        </w:rPr>
        <w:t>防治</w:t>
      </w:r>
      <w:r>
        <w:rPr>
          <w:rFonts w:hint="eastAsia" w:ascii="仿宋_GB2312" w:hAnsi="黑体" w:eastAsia="仿宋_GB2312" w:cs="宋体"/>
          <w:bCs/>
          <w:color w:val="auto"/>
          <w:kern w:val="0"/>
          <w:sz w:val="32"/>
          <w:szCs w:val="32"/>
          <w:highlight w:val="none"/>
        </w:rPr>
        <w:t>能力；加强健康教育宣传力度，提高广大人民群众的防病意识；完成自治区及地区下发疾病预防，基本公共卫生，基本医疗任务的各项指标，强化疫情监测和报告工作，规范各项预防工作；加强传染病的</w:t>
      </w:r>
      <w:r>
        <w:rPr>
          <w:rFonts w:hint="eastAsia" w:ascii="仿宋_GB2312" w:hAnsi="黑体" w:eastAsia="仿宋_GB2312" w:cs="宋体"/>
          <w:bCs/>
          <w:color w:val="auto"/>
          <w:kern w:val="0"/>
          <w:sz w:val="32"/>
          <w:szCs w:val="32"/>
          <w:highlight w:val="none"/>
          <w:lang w:eastAsia="zh-CN"/>
        </w:rPr>
        <w:t>监测预警</w:t>
      </w:r>
      <w:r>
        <w:rPr>
          <w:rFonts w:hint="eastAsia" w:ascii="仿宋_GB2312" w:hAnsi="黑体" w:eastAsia="仿宋_GB2312" w:cs="宋体"/>
          <w:bCs/>
          <w:color w:val="auto"/>
          <w:kern w:val="0"/>
          <w:sz w:val="32"/>
          <w:szCs w:val="32"/>
          <w:highlight w:val="none"/>
        </w:rPr>
        <w:t>能力及人才队伍的建设。</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二、机构设置及人员情况</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皮山县巴什兰干乡卫生院无下属预算单位，下设12个科室，分别是：医生办公室、门诊部、住院部、发热门诊、防疫科、妇幼保健室、公共卫生办公室、健康扶贫办公室、全民体检办公室、护士办公室、中医科、财务室。</w:t>
      </w:r>
    </w:p>
    <w:p>
      <w:pPr>
        <w:keepNext w:val="0"/>
        <w:keepLines w:val="0"/>
        <w:pageBreakBefore w:val="0"/>
        <w:widowControl/>
        <w:kinsoku/>
        <w:wordWrap/>
        <w:overflowPunct/>
        <w:topLinePunct w:val="0"/>
        <w:autoSpaceDE/>
        <w:autoSpaceDN/>
        <w:bidi w:val="0"/>
        <w:adjustRightInd/>
        <w:snapToGrid/>
        <w:spacing w:beforeLines="0" w:line="560" w:lineRule="exact"/>
        <w:ind w:firstLine="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皮山县巴什兰干乡卫生院单位编制数14，实有人数14人，其中：在职14人，增加1人；退休0人，增加0人；离休0人，增加0人。</w:t>
      </w:r>
    </w:p>
    <w:p>
      <w:pPr>
        <w:keepNext w:val="0"/>
        <w:keepLines w:val="0"/>
        <w:pageBreakBefore w:val="0"/>
        <w:kinsoku/>
        <w:wordWrap/>
        <w:overflowPunct/>
        <w:topLinePunct w:val="0"/>
        <w:autoSpaceDE/>
        <w:autoSpaceDN/>
        <w:bidi w:val="0"/>
        <w:adjustRightInd/>
        <w:snapToGrid/>
        <w:spacing w:line="560" w:lineRule="exact"/>
        <w:textAlignment w:val="auto"/>
        <w:rPr>
          <w:sz w:val="32"/>
          <w:szCs w:val="32"/>
        </w:rPr>
      </w:pPr>
    </w:p>
    <w:p/>
    <w:p/>
    <w:p/>
    <w:p/>
    <w:p/>
    <w:p/>
    <w:p/>
    <w:p/>
    <w:p/>
    <w:p/>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outlineLvl w:val="9"/>
        <w:rPr>
          <w:rFonts w:hint="eastAsia" w:ascii="黑体" w:hAnsi="黑体" w:eastAsia="黑体" w:cs="黑体"/>
          <w:b w:val="0"/>
          <w:bCs/>
          <w:color w:val="auto"/>
          <w:kern w:val="0"/>
          <w:position w:val="0"/>
          <w:sz w:val="40"/>
          <w:szCs w:val="40"/>
          <w:highlight w:val="none"/>
          <w:lang w:val="en-US" w:eastAsia="zh-CN" w:bidi="ar-SA"/>
        </w:rPr>
      </w:pPr>
      <w:r>
        <w:rPr>
          <w:rFonts w:hint="eastAsia" w:ascii="黑体" w:hAnsi="黑体" w:eastAsia="黑体" w:cs="黑体"/>
          <w:b w:val="0"/>
          <w:bCs/>
          <w:color w:val="auto"/>
          <w:kern w:val="0"/>
          <w:position w:val="0"/>
          <w:sz w:val="40"/>
          <w:szCs w:val="40"/>
          <w:highlight w:val="none"/>
          <w:lang w:val="en-US" w:eastAsia="zh-CN" w:bidi="ar-SA"/>
        </w:rPr>
        <w:t>第二部分2023年部门预算公开表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05"/>
        <w:gridCol w:w="748"/>
        <w:gridCol w:w="3099"/>
        <w:gridCol w:w="7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：皮山县巴什兰干乡卫生院</w:t>
            </w:r>
          </w:p>
        </w:tc>
        <w:tc>
          <w:tcPr>
            <w:tcW w:w="3847"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收入</w:t>
            </w:r>
          </w:p>
        </w:tc>
        <w:tc>
          <w:tcPr>
            <w:tcW w:w="38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717.66</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317.66</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232.89</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84.77</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698.82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400.00</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400.00</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15.97</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15.97</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15.97</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733.63</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733.63</w:t>
            </w:r>
          </w:p>
        </w:tc>
      </w:tr>
    </w:tbl>
    <w:p>
      <w:pPr>
        <w:sectPr>
          <w:pgMar w:top="2098" w:right="1417" w:bottom="1984" w:left="1587" w:header="720" w:footer="720" w:gutter="0"/>
          <w:cols w:space="720" w:num="1"/>
        </w:sectPr>
      </w:pP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59"/>
        <w:gridCol w:w="252"/>
        <w:gridCol w:w="253"/>
        <w:gridCol w:w="635"/>
        <w:gridCol w:w="532"/>
        <w:gridCol w:w="718"/>
        <w:gridCol w:w="612"/>
        <w:gridCol w:w="781"/>
        <w:gridCol w:w="395"/>
        <w:gridCol w:w="581"/>
        <w:gridCol w:w="422"/>
        <w:gridCol w:w="661"/>
        <w:gridCol w:w="649"/>
        <w:gridCol w:w="559"/>
        <w:gridCol w:w="542"/>
        <w:gridCol w:w="44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50" w:type="dxa"/>
            <w:gridSpan w:val="1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：皮山县巴什兰干乡卫生院</w:t>
            </w:r>
          </w:p>
        </w:tc>
        <w:tc>
          <w:tcPr>
            <w:tcW w:w="155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63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5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总计</w:t>
            </w:r>
          </w:p>
        </w:tc>
        <w:tc>
          <w:tcPr>
            <w:tcW w:w="417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64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55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54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44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635" w:type="dxa"/>
            <w:vMerge w:val="continue"/>
          </w:tcPr>
          <w:p/>
        </w:tc>
        <w:tc>
          <w:tcPr>
            <w:tcW w:w="532" w:type="dxa"/>
            <w:vMerge w:val="continue"/>
          </w:tcP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3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649" w:type="dxa"/>
            <w:vMerge w:val="continue"/>
          </w:tcPr>
          <w:p/>
        </w:tc>
        <w:tc>
          <w:tcPr>
            <w:tcW w:w="559" w:type="dxa"/>
            <w:vMerge w:val="continue"/>
          </w:tcPr>
          <w:p/>
        </w:tc>
        <w:tc>
          <w:tcPr>
            <w:tcW w:w="542" w:type="dxa"/>
            <w:vMerge w:val="continue"/>
          </w:tcPr>
          <w:p/>
        </w:tc>
        <w:tc>
          <w:tcPr>
            <w:tcW w:w="449"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23.21</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23.21</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23.21</w:t>
            </w: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w:t>
            </w: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698.82</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282.85</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198.08</w:t>
            </w: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84.77</w:t>
            </w:r>
          </w:p>
        </w:tc>
        <w:tc>
          <w:tcPr>
            <w:tcW w:w="3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400.00</w:t>
            </w: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15.97</w:t>
            </w:r>
          </w:p>
        </w:tc>
        <w:tc>
          <w:tcPr>
            <w:tcW w:w="44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c>
          <w:tcPr>
            <w:tcW w:w="3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c>
          <w:tcPr>
            <w:tcW w:w="3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609.43</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204.42</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198.08</w:t>
            </w: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w:t>
            </w:r>
          </w:p>
        </w:tc>
        <w:tc>
          <w:tcPr>
            <w:tcW w:w="3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400.00</w:t>
            </w: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5.01</w:t>
            </w:r>
          </w:p>
        </w:tc>
        <w:tc>
          <w:tcPr>
            <w:tcW w:w="44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602.76</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198.08</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198.08</w:t>
            </w: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400.00</w:t>
            </w: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w:t>
            </w:r>
          </w:p>
        </w:tc>
        <w:tc>
          <w:tcPr>
            <w:tcW w:w="44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6.67</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w:t>
            </w:r>
          </w:p>
        </w:tc>
        <w:tc>
          <w:tcPr>
            <w:tcW w:w="3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0.33</w:t>
            </w:r>
          </w:p>
        </w:tc>
        <w:tc>
          <w:tcPr>
            <w:tcW w:w="44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79.02</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68.06</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68.06</w:t>
            </w:r>
          </w:p>
        </w:tc>
        <w:tc>
          <w:tcPr>
            <w:tcW w:w="3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10.96</w:t>
            </w:r>
          </w:p>
        </w:tc>
        <w:tc>
          <w:tcPr>
            <w:tcW w:w="44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43.02</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42.11</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42.11</w:t>
            </w:r>
          </w:p>
        </w:tc>
        <w:tc>
          <w:tcPr>
            <w:tcW w:w="3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0.91</w:t>
            </w:r>
          </w:p>
        </w:tc>
        <w:tc>
          <w:tcPr>
            <w:tcW w:w="44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1.11</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1.11</w:t>
            </w:r>
          </w:p>
        </w:tc>
        <w:tc>
          <w:tcPr>
            <w:tcW w:w="3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0.89</w:t>
            </w:r>
          </w:p>
        </w:tc>
        <w:tc>
          <w:tcPr>
            <w:tcW w:w="44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34.00</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24.84</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24.84</w:t>
            </w:r>
          </w:p>
        </w:tc>
        <w:tc>
          <w:tcPr>
            <w:tcW w:w="3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9.16</w:t>
            </w:r>
          </w:p>
        </w:tc>
        <w:tc>
          <w:tcPr>
            <w:tcW w:w="44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733.63</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317.66</w:t>
            </w:r>
          </w:p>
        </w:tc>
        <w:tc>
          <w:tcPr>
            <w:tcW w:w="6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232.89</w:t>
            </w: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84.77</w:t>
            </w:r>
          </w:p>
        </w:tc>
        <w:tc>
          <w:tcPr>
            <w:tcW w:w="3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400.00</w:t>
            </w: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15.97</w:t>
            </w:r>
          </w:p>
        </w:tc>
        <w:tc>
          <w:tcPr>
            <w:tcW w:w="449"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08"/>
        <w:gridCol w:w="569"/>
        <w:gridCol w:w="569"/>
        <w:gridCol w:w="3850"/>
        <w:gridCol w:w="614"/>
        <w:gridCol w:w="995"/>
        <w:gridCol w:w="99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96"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：皮山县巴什兰干乡卫生院</w:t>
            </w:r>
          </w:p>
        </w:tc>
        <w:tc>
          <w:tcPr>
            <w:tcW w:w="2604"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96"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60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4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85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9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99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850" w:type="dxa"/>
            <w:vMerge w:val="continue"/>
          </w:tcPr>
          <w:p/>
        </w:tc>
        <w:tc>
          <w:tcPr>
            <w:tcW w:w="614" w:type="dxa"/>
            <w:vMerge w:val="continue"/>
          </w:tcPr>
          <w:p/>
        </w:tc>
        <w:tc>
          <w:tcPr>
            <w:tcW w:w="995" w:type="dxa"/>
            <w:vMerge w:val="continue"/>
          </w:tcPr>
          <w:p/>
        </w:tc>
        <w:tc>
          <w:tcPr>
            <w:tcW w:w="99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23.21</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23.21</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698.82</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198.08</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500.74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609.43</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198.08</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411.35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602.76</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198.08</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404.68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6.67</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79.02</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79.02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43.02</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34.00</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733.63</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232.89</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500.74</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324"/>
        <w:gridCol w:w="809"/>
        <w:gridCol w:w="2336"/>
        <w:gridCol w:w="827"/>
        <w:gridCol w:w="975"/>
        <w:gridCol w:w="1001"/>
        <w:gridCol w:w="112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96"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：皮山县巴什兰干乡卫生院</w:t>
            </w:r>
          </w:p>
        </w:tc>
        <w:tc>
          <w:tcPr>
            <w:tcW w:w="3104"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6267"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317.66</w:t>
            </w: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一般公共预算</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317.66</w:t>
            </w: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政府性基金预算</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282.85</w:t>
            </w: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282.85</w:t>
            </w: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317.66</w:t>
            </w:r>
          </w:p>
        </w:tc>
        <w:tc>
          <w:tcPr>
            <w:tcW w:w="2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317.66</w:t>
            </w: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317.66</w:t>
            </w: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84"/>
        <w:gridCol w:w="551"/>
        <w:gridCol w:w="552"/>
        <w:gridCol w:w="3734"/>
        <w:gridCol w:w="849"/>
        <w:gridCol w:w="965"/>
        <w:gridCol w:w="96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621"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：皮山县巴什兰干乡卫生院</w:t>
            </w:r>
          </w:p>
        </w:tc>
        <w:tc>
          <w:tcPr>
            <w:tcW w:w="2779"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21"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77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8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73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4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9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734" w:type="dxa"/>
            <w:vMerge w:val="continue"/>
          </w:tcPr>
          <w:p/>
        </w:tc>
        <w:tc>
          <w:tcPr>
            <w:tcW w:w="849" w:type="dxa"/>
            <w:vMerge w:val="continue"/>
          </w:tcPr>
          <w:p/>
        </w:tc>
        <w:tc>
          <w:tcPr>
            <w:tcW w:w="965" w:type="dxa"/>
            <w:vMerge w:val="continue"/>
          </w:tcPr>
          <w:p/>
        </w:tc>
        <w:tc>
          <w:tcPr>
            <w:tcW w:w="96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34.81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282.85</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198.08</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84.77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204.42</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198.08</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198.08</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198.08</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68.06</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68.06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24.84</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24.84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317.66</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232.89</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84.77</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157"/>
        <w:gridCol w:w="812"/>
        <w:gridCol w:w="3413"/>
        <w:gridCol w:w="1006"/>
        <w:gridCol w:w="1006"/>
        <w:gridCol w:w="10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：皮山县巴什兰干乡卫生院</w:t>
            </w:r>
          </w:p>
        </w:tc>
        <w:tc>
          <w:tcPr>
            <w:tcW w:w="3018"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01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6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341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413" w:type="dxa"/>
            <w:vMerge w:val="continue"/>
          </w:tcPr>
          <w:p/>
        </w:tc>
        <w:tc>
          <w:tcPr>
            <w:tcW w:w="1006" w:type="dxa"/>
            <w:vMerge w:val="continue"/>
          </w:tcPr>
          <w:p/>
        </w:tc>
        <w:tc>
          <w:tcPr>
            <w:tcW w:w="1006" w:type="dxa"/>
            <w:vMerge w:val="continue"/>
          </w:tcPr>
          <w:p/>
        </w:tc>
        <w:tc>
          <w:tcPr>
            <w:tcW w:w="100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230.23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230.23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52.62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52.62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59.01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59.01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36.65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36.65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9.43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9.43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17.41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17.41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232.89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232.89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37"/>
        <w:gridCol w:w="237"/>
        <w:gridCol w:w="237"/>
        <w:gridCol w:w="563"/>
        <w:gridCol w:w="1638"/>
        <w:gridCol w:w="555"/>
        <w:gridCol w:w="385"/>
        <w:gridCol w:w="585"/>
        <w:gridCol w:w="474"/>
        <w:gridCol w:w="474"/>
        <w:gridCol w:w="703"/>
        <w:gridCol w:w="355"/>
        <w:gridCol w:w="703"/>
        <w:gridCol w:w="355"/>
        <w:gridCol w:w="474"/>
        <w:gridCol w:w="3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246" w:type="dxa"/>
            <w:gridSpan w:val="1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：皮山县巴什兰干乡卫生院</w:t>
            </w:r>
          </w:p>
        </w:tc>
        <w:tc>
          <w:tcPr>
            <w:tcW w:w="1154"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5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16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55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38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58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47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47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7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35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7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35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47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32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63" w:type="dxa"/>
            <w:vMerge w:val="continue"/>
          </w:tcPr>
          <w:p/>
        </w:tc>
        <w:tc>
          <w:tcPr>
            <w:tcW w:w="1638" w:type="dxa"/>
            <w:vMerge w:val="continue"/>
          </w:tcPr>
          <w:p/>
        </w:tc>
        <w:tc>
          <w:tcPr>
            <w:tcW w:w="555" w:type="dxa"/>
            <w:vMerge w:val="continue"/>
          </w:tcPr>
          <w:p/>
        </w:tc>
        <w:tc>
          <w:tcPr>
            <w:tcW w:w="385" w:type="dxa"/>
            <w:vMerge w:val="continue"/>
          </w:tcPr>
          <w:p/>
        </w:tc>
        <w:tc>
          <w:tcPr>
            <w:tcW w:w="585" w:type="dxa"/>
            <w:vMerge w:val="continue"/>
          </w:tcPr>
          <w:p/>
        </w:tc>
        <w:tc>
          <w:tcPr>
            <w:tcW w:w="474" w:type="dxa"/>
            <w:vMerge w:val="continue"/>
          </w:tcPr>
          <w:p/>
        </w:tc>
        <w:tc>
          <w:tcPr>
            <w:tcW w:w="474" w:type="dxa"/>
            <w:vMerge w:val="continue"/>
          </w:tcPr>
          <w:p/>
        </w:tc>
        <w:tc>
          <w:tcPr>
            <w:tcW w:w="703" w:type="dxa"/>
            <w:vMerge w:val="continue"/>
          </w:tcPr>
          <w:p/>
        </w:tc>
        <w:tc>
          <w:tcPr>
            <w:tcW w:w="355" w:type="dxa"/>
            <w:vMerge w:val="continue"/>
          </w:tcPr>
          <w:p/>
        </w:tc>
        <w:tc>
          <w:tcPr>
            <w:tcW w:w="703" w:type="dxa"/>
            <w:vMerge w:val="continue"/>
          </w:tcPr>
          <w:p/>
        </w:tc>
        <w:tc>
          <w:tcPr>
            <w:tcW w:w="355" w:type="dxa"/>
            <w:vMerge w:val="continue"/>
          </w:tcPr>
          <w:p/>
        </w:tc>
        <w:tc>
          <w:tcPr>
            <w:tcW w:w="474" w:type="dxa"/>
            <w:vMerge w:val="continue"/>
          </w:tcPr>
          <w:p/>
        </w:tc>
        <w:tc>
          <w:tcPr>
            <w:tcW w:w="3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84.77</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84.77</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2023年自治区医疗服务与保障能力提升(卫生健康人才培训)补助资金</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2023年中央财政基本药物制度补助资金-（和地财社</w:t>
            </w:r>
            <w:r>
              <w:rPr>
                <w:rFonts w:hint="eastAsia" w:ascii="仿宋" w:hAnsi="仿宋" w:eastAsia="仿宋" w:cs="仿宋"/>
                <w:position w:val="8"/>
                <w:sz w:val="20"/>
                <w:lang w:eastAsia="zh-CN"/>
              </w:rPr>
              <w:t>〔2022〕72号</w:t>
            </w:r>
            <w:r>
              <w:rPr>
                <w:rFonts w:ascii="仿宋" w:hAnsi="仿宋" w:eastAsia="仿宋" w:cs="仿宋"/>
                <w:position w:val="8"/>
                <w:sz w:val="20"/>
              </w:rPr>
              <w:t>）</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68.06</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68.06</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2023年中央基本公共卫生服务补助资金-（和地财社【2022】71）</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33.37</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33.37</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2023年自治区基本公共卫生服务补助资金-（和地财社</w:t>
            </w:r>
            <w:r>
              <w:rPr>
                <w:rFonts w:hint="eastAsia" w:ascii="仿宋" w:hAnsi="仿宋" w:eastAsia="仿宋" w:cs="仿宋"/>
                <w:position w:val="8"/>
                <w:sz w:val="20"/>
                <w:lang w:eastAsia="zh-CN"/>
              </w:rPr>
              <w:t>〔2022〕73号</w:t>
            </w:r>
            <w:r>
              <w:rPr>
                <w:rFonts w:ascii="仿宋" w:hAnsi="仿宋" w:eastAsia="仿宋" w:cs="仿宋"/>
                <w:position w:val="8"/>
                <w:sz w:val="20"/>
              </w:rPr>
              <w:t>）</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8.74</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8.74</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2023年中央财政重大传染病防治补助资金</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1.11</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1.11</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2023年自治区公共卫生服务（地方公共卫生）补助资金</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24.84</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24.84</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84.77</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84.77</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99"/>
        <w:gridCol w:w="801"/>
        <w:gridCol w:w="800"/>
        <w:gridCol w:w="2858"/>
        <w:gridCol w:w="966"/>
        <w:gridCol w:w="1088"/>
        <w:gridCol w:w="108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8"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：皮山县巴什兰干乡卫生院</w:t>
            </w:r>
          </w:p>
        </w:tc>
        <w:tc>
          <w:tcPr>
            <w:tcW w:w="3142"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8"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14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8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96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08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08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858" w:type="dxa"/>
            <w:vMerge w:val="continue"/>
          </w:tcPr>
          <w:p/>
        </w:tc>
        <w:tc>
          <w:tcPr>
            <w:tcW w:w="966" w:type="dxa"/>
            <w:vMerge w:val="continue"/>
          </w:tcPr>
          <w:p/>
        </w:tc>
        <w:tc>
          <w:tcPr>
            <w:tcW w:w="1088" w:type="dxa"/>
            <w:vMerge w:val="continue"/>
          </w:tcPr>
          <w:p/>
        </w:tc>
        <w:tc>
          <w:tcPr>
            <w:tcW w:w="1088"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0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9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9" w:type="dxa"/>
          </w:tcPr>
          <w:p/>
        </w:tc>
        <w:tc>
          <w:tcPr>
            <w:tcW w:w="801" w:type="dxa"/>
          </w:tcPr>
          <w:p/>
        </w:tc>
        <w:tc>
          <w:tcPr>
            <w:tcW w:w="800" w:type="dxa"/>
          </w:tcPr>
          <w:p/>
        </w:tc>
        <w:tc>
          <w:tcPr>
            <w:tcW w:w="2858" w:type="dxa"/>
          </w:tcPr>
          <w:p/>
        </w:tc>
        <w:tc>
          <w:tcPr>
            <w:tcW w:w="966" w:type="dxa"/>
          </w:tcPr>
          <w:p/>
        </w:tc>
        <w:tc>
          <w:tcPr>
            <w:tcW w:w="1088" w:type="dxa"/>
          </w:tcPr>
          <w:p/>
        </w:tc>
        <w:tc>
          <w:tcPr>
            <w:tcW w:w="108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9" w:type="dxa"/>
          </w:tcPr>
          <w:p/>
        </w:tc>
        <w:tc>
          <w:tcPr>
            <w:tcW w:w="801" w:type="dxa"/>
          </w:tcPr>
          <w:p/>
        </w:tc>
        <w:tc>
          <w:tcPr>
            <w:tcW w:w="800" w:type="dxa"/>
          </w:tcPr>
          <w:p/>
        </w:tc>
        <w:tc>
          <w:tcPr>
            <w:tcW w:w="2858" w:type="dxa"/>
          </w:tcPr>
          <w:p/>
        </w:tc>
        <w:tc>
          <w:tcPr>
            <w:tcW w:w="966" w:type="dxa"/>
          </w:tcPr>
          <w:p/>
        </w:tc>
        <w:tc>
          <w:tcPr>
            <w:tcW w:w="1088" w:type="dxa"/>
          </w:tcPr>
          <w:p/>
        </w:tc>
        <w:tc>
          <w:tcPr>
            <w:tcW w:w="108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9" w:type="dxa"/>
          </w:tcPr>
          <w:p/>
        </w:tc>
        <w:tc>
          <w:tcPr>
            <w:tcW w:w="801" w:type="dxa"/>
          </w:tcPr>
          <w:p/>
        </w:tc>
        <w:tc>
          <w:tcPr>
            <w:tcW w:w="800" w:type="dxa"/>
          </w:tcPr>
          <w:p/>
        </w:tc>
        <w:tc>
          <w:tcPr>
            <w:tcW w:w="2858" w:type="dxa"/>
          </w:tcPr>
          <w:p/>
        </w:tc>
        <w:tc>
          <w:tcPr>
            <w:tcW w:w="966" w:type="dxa"/>
          </w:tcPr>
          <w:p/>
        </w:tc>
        <w:tc>
          <w:tcPr>
            <w:tcW w:w="1088" w:type="dxa"/>
          </w:tcPr>
          <w:p/>
        </w:tc>
        <w:tc>
          <w:tcPr>
            <w:tcW w:w="108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9" w:type="dxa"/>
          </w:tcPr>
          <w:p/>
        </w:tc>
        <w:tc>
          <w:tcPr>
            <w:tcW w:w="801" w:type="dxa"/>
          </w:tcPr>
          <w:p/>
        </w:tc>
        <w:tc>
          <w:tcPr>
            <w:tcW w:w="800" w:type="dxa"/>
          </w:tcPr>
          <w:p/>
        </w:tc>
        <w:tc>
          <w:tcPr>
            <w:tcW w:w="2858" w:type="dxa"/>
          </w:tcPr>
          <w:p/>
        </w:tc>
        <w:tc>
          <w:tcPr>
            <w:tcW w:w="966" w:type="dxa"/>
          </w:tcPr>
          <w:p/>
        </w:tc>
        <w:tc>
          <w:tcPr>
            <w:tcW w:w="1088" w:type="dxa"/>
          </w:tcPr>
          <w:p/>
        </w:tc>
        <w:tc>
          <w:tcPr>
            <w:tcW w:w="108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9" w:type="dxa"/>
          </w:tcPr>
          <w:p/>
        </w:tc>
        <w:tc>
          <w:tcPr>
            <w:tcW w:w="801" w:type="dxa"/>
          </w:tcPr>
          <w:p/>
        </w:tc>
        <w:tc>
          <w:tcPr>
            <w:tcW w:w="800" w:type="dxa"/>
          </w:tcPr>
          <w:p/>
        </w:tc>
        <w:tc>
          <w:tcPr>
            <w:tcW w:w="2858" w:type="dxa"/>
          </w:tcPr>
          <w:p/>
        </w:tc>
        <w:tc>
          <w:tcPr>
            <w:tcW w:w="966" w:type="dxa"/>
          </w:tcPr>
          <w:p/>
        </w:tc>
        <w:tc>
          <w:tcPr>
            <w:tcW w:w="1088" w:type="dxa"/>
          </w:tcPr>
          <w:p/>
        </w:tc>
        <w:tc>
          <w:tcPr>
            <w:tcW w:w="108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皮山县巴什兰干乡卫生院2023年没有使用政府性基金预算拨款安排的支出，政府性基金预算支出情况表为空表。</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05"/>
        <w:gridCol w:w="806"/>
        <w:gridCol w:w="806"/>
        <w:gridCol w:w="2868"/>
        <w:gridCol w:w="867"/>
        <w:gridCol w:w="1124"/>
        <w:gridCol w:w="112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85"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：皮山县巴什兰干乡卫生院</w:t>
            </w:r>
          </w:p>
        </w:tc>
        <w:tc>
          <w:tcPr>
            <w:tcW w:w="3115"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85"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11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1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86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6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1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1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868" w:type="dxa"/>
            <w:vMerge w:val="continue"/>
          </w:tcPr>
          <w:p/>
        </w:tc>
        <w:tc>
          <w:tcPr>
            <w:tcW w:w="867" w:type="dxa"/>
            <w:vMerge w:val="continue"/>
          </w:tcPr>
          <w:p/>
        </w:tc>
        <w:tc>
          <w:tcPr>
            <w:tcW w:w="1124" w:type="dxa"/>
            <w:vMerge w:val="continue"/>
          </w:tcPr>
          <w:p/>
        </w:tc>
        <w:tc>
          <w:tcPr>
            <w:tcW w:w="1124"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5" w:type="dxa"/>
          </w:tcPr>
          <w:p/>
        </w:tc>
        <w:tc>
          <w:tcPr>
            <w:tcW w:w="806" w:type="dxa"/>
          </w:tcPr>
          <w:p/>
        </w:tc>
        <w:tc>
          <w:tcPr>
            <w:tcW w:w="806" w:type="dxa"/>
          </w:tcPr>
          <w:p/>
        </w:tc>
        <w:tc>
          <w:tcPr>
            <w:tcW w:w="2868" w:type="dxa"/>
          </w:tcPr>
          <w:p/>
        </w:tc>
        <w:tc>
          <w:tcPr>
            <w:tcW w:w="867" w:type="dxa"/>
          </w:tcPr>
          <w:p/>
        </w:tc>
        <w:tc>
          <w:tcPr>
            <w:tcW w:w="1124" w:type="dxa"/>
          </w:tcPr>
          <w:p/>
        </w:tc>
        <w:tc>
          <w:tcPr>
            <w:tcW w:w="112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5" w:type="dxa"/>
          </w:tcPr>
          <w:p/>
        </w:tc>
        <w:tc>
          <w:tcPr>
            <w:tcW w:w="806" w:type="dxa"/>
          </w:tcPr>
          <w:p/>
        </w:tc>
        <w:tc>
          <w:tcPr>
            <w:tcW w:w="806" w:type="dxa"/>
          </w:tcPr>
          <w:p/>
        </w:tc>
        <w:tc>
          <w:tcPr>
            <w:tcW w:w="2868" w:type="dxa"/>
          </w:tcPr>
          <w:p/>
        </w:tc>
        <w:tc>
          <w:tcPr>
            <w:tcW w:w="867" w:type="dxa"/>
          </w:tcPr>
          <w:p/>
        </w:tc>
        <w:tc>
          <w:tcPr>
            <w:tcW w:w="1124" w:type="dxa"/>
          </w:tcPr>
          <w:p/>
        </w:tc>
        <w:tc>
          <w:tcPr>
            <w:tcW w:w="112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5" w:type="dxa"/>
          </w:tcPr>
          <w:p/>
        </w:tc>
        <w:tc>
          <w:tcPr>
            <w:tcW w:w="806" w:type="dxa"/>
          </w:tcPr>
          <w:p/>
        </w:tc>
        <w:tc>
          <w:tcPr>
            <w:tcW w:w="806" w:type="dxa"/>
          </w:tcPr>
          <w:p/>
        </w:tc>
        <w:tc>
          <w:tcPr>
            <w:tcW w:w="2868" w:type="dxa"/>
          </w:tcPr>
          <w:p/>
        </w:tc>
        <w:tc>
          <w:tcPr>
            <w:tcW w:w="867" w:type="dxa"/>
          </w:tcPr>
          <w:p/>
        </w:tc>
        <w:tc>
          <w:tcPr>
            <w:tcW w:w="1124" w:type="dxa"/>
          </w:tcPr>
          <w:p/>
        </w:tc>
        <w:tc>
          <w:tcPr>
            <w:tcW w:w="112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5" w:type="dxa"/>
          </w:tcPr>
          <w:p/>
        </w:tc>
        <w:tc>
          <w:tcPr>
            <w:tcW w:w="806" w:type="dxa"/>
          </w:tcPr>
          <w:p/>
        </w:tc>
        <w:tc>
          <w:tcPr>
            <w:tcW w:w="806" w:type="dxa"/>
          </w:tcPr>
          <w:p/>
        </w:tc>
        <w:tc>
          <w:tcPr>
            <w:tcW w:w="2868" w:type="dxa"/>
          </w:tcPr>
          <w:p/>
        </w:tc>
        <w:tc>
          <w:tcPr>
            <w:tcW w:w="867" w:type="dxa"/>
          </w:tcPr>
          <w:p/>
        </w:tc>
        <w:tc>
          <w:tcPr>
            <w:tcW w:w="1124" w:type="dxa"/>
          </w:tcPr>
          <w:p/>
        </w:tc>
        <w:tc>
          <w:tcPr>
            <w:tcW w:w="112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5" w:type="dxa"/>
          </w:tcPr>
          <w:p/>
        </w:tc>
        <w:tc>
          <w:tcPr>
            <w:tcW w:w="806" w:type="dxa"/>
          </w:tcPr>
          <w:p/>
        </w:tc>
        <w:tc>
          <w:tcPr>
            <w:tcW w:w="806" w:type="dxa"/>
          </w:tcPr>
          <w:p/>
        </w:tc>
        <w:tc>
          <w:tcPr>
            <w:tcW w:w="2868" w:type="dxa"/>
          </w:tcPr>
          <w:p/>
        </w:tc>
        <w:tc>
          <w:tcPr>
            <w:tcW w:w="867" w:type="dxa"/>
          </w:tcPr>
          <w:p/>
        </w:tc>
        <w:tc>
          <w:tcPr>
            <w:tcW w:w="1124" w:type="dxa"/>
          </w:tcPr>
          <w:p/>
        </w:tc>
        <w:tc>
          <w:tcPr>
            <w:tcW w:w="112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皮山县巴什兰干乡卫生院2023年没有安排国有资本经营预算的支出，国有资本经营预算支出情况表为空表。</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164"/>
        <w:gridCol w:w="541"/>
        <w:gridCol w:w="1173"/>
        <w:gridCol w:w="997"/>
        <w:gridCol w:w="1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705"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：皮山县巴什兰干乡卫生院</w:t>
            </w:r>
          </w:p>
        </w:tc>
        <w:tc>
          <w:tcPr>
            <w:tcW w:w="3695"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54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369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vMerge w:val="continue"/>
          </w:tcPr>
          <w:p/>
        </w:tc>
        <w:tc>
          <w:tcPr>
            <w:tcW w:w="541" w:type="dxa"/>
            <w:vMerge w:val="continue"/>
          </w:tc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因公出国(境)费用</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公务接待费</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公务用车购置及运行费（小计）</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其中：公务用车购置费</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公务用车运行费</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left w:val="nil"/>
              <w:bottom w:val="nil"/>
              <w:right w:val="nil"/>
            </w:tcBorders>
            <w:vAlign w:val="center"/>
          </w:tcPr>
          <w:p>
            <w:pPr>
              <w:ind w:left="150"/>
              <w:jc w:val="left"/>
            </w:pPr>
            <w:r>
              <w:rPr>
                <w:rFonts w:ascii="仿宋" w:hAnsi="仿宋" w:eastAsia="仿宋" w:cs="仿宋"/>
                <w:position w:val="8"/>
                <w:sz w:val="20"/>
              </w:rPr>
              <w:t>皮山县巴什兰干乡卫生院2023年没有使用财政拨款“三公”经费安排的支出，财政拨款“三公”经费支出情况表为空表。</w:t>
            </w:r>
          </w:p>
        </w:tc>
      </w:tr>
    </w:tbl>
    <w:p>
      <w:pPr>
        <w:sectPr>
          <w:cols w:space="720" w:num="1"/>
        </w:sectPr>
      </w:pPr>
      <w:r>
        <w:br w:type="textWrapping"/>
      </w:r>
    </w:p>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outlineLvl w:val="9"/>
        <w:rPr>
          <w:rFonts w:hint="eastAsia" w:ascii="黑体" w:hAnsi="黑体" w:eastAsia="黑体" w:cs="黑体"/>
          <w:b w:val="0"/>
          <w:bCs/>
          <w:color w:val="auto"/>
          <w:kern w:val="0"/>
          <w:position w:val="0"/>
          <w:sz w:val="40"/>
          <w:szCs w:val="40"/>
          <w:highlight w:val="none"/>
          <w:lang w:val="en-US" w:eastAsia="zh-CN" w:bidi="ar-SA"/>
        </w:rPr>
      </w:pPr>
      <w:r>
        <w:rPr>
          <w:rFonts w:hint="eastAsia" w:ascii="黑体" w:hAnsi="黑体" w:eastAsia="黑体" w:cs="黑体"/>
          <w:b w:val="0"/>
          <w:bCs/>
          <w:color w:val="auto"/>
          <w:kern w:val="0"/>
          <w:position w:val="0"/>
          <w:sz w:val="40"/>
          <w:szCs w:val="40"/>
          <w:highlight w:val="none"/>
          <w:lang w:val="en-US" w:eastAsia="zh-CN" w:bidi="ar-SA"/>
        </w:rPr>
        <w:t>第三部分2023年皮山县巴什兰干乡</w:t>
      </w:r>
    </w:p>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outlineLvl w:val="9"/>
        <w:rPr>
          <w:rFonts w:hint="eastAsia" w:ascii="黑体" w:hAnsi="黑体" w:eastAsia="黑体" w:cs="黑体"/>
          <w:b w:val="0"/>
          <w:bCs/>
          <w:color w:val="auto"/>
          <w:kern w:val="0"/>
          <w:position w:val="0"/>
          <w:sz w:val="40"/>
          <w:szCs w:val="40"/>
          <w:highlight w:val="none"/>
          <w:lang w:val="en-US" w:eastAsia="zh-CN" w:bidi="ar-SA"/>
        </w:rPr>
      </w:pPr>
      <w:r>
        <w:rPr>
          <w:rFonts w:hint="eastAsia" w:ascii="黑体" w:hAnsi="黑体" w:eastAsia="黑体" w:cs="黑体"/>
          <w:b w:val="0"/>
          <w:bCs/>
          <w:color w:val="auto"/>
          <w:kern w:val="0"/>
          <w:position w:val="0"/>
          <w:sz w:val="40"/>
          <w:szCs w:val="40"/>
          <w:highlight w:val="none"/>
          <w:lang w:val="en-US" w:eastAsia="zh-CN" w:bidi="ar-SA"/>
        </w:rPr>
        <w:t>卫生院预算情况说明</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一、关于皮山县巴什兰干乡卫生院2023年收支预算情况的总体说明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按照全口径预算的原则，皮山县巴什兰干乡卫生院2023年所有收入和支出均纳入单位预算管理。收支总预算733.63万元。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收入预算包括：一般公共预算、单位资金、财政拨款。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支出预算包括：社会保障和就业支出、卫生健康支出。</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二、关于皮山县巴什兰干乡卫生院2023年收入预算情况说明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皮山县巴什兰干乡卫生院收入预算733.63万元，其中：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一般公共预算232.89万元，占31.74%，比上年预算减少223.51万元，下降48.97%，主要原因是工资福利，社会保障费减少。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上级一般公共预算安排的转移支付资金84.77万元，占11.55%，比上年预算增加84.77万元，增长100.00%，主要原因是上年末未纳入预算。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单位资金400万元，占54.52%，比上年预算增加150.00万元，增长60.00%，主要原因是住院，门诊患者增加，项目增加。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财政拨款结转15.97万元，占2.18%，比上年预算增加15.97万元，增长100.00%，主要原因是上年末未纳入预算。</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三、关于皮山县巴什兰干乡卫生院2023年支出预算情况说明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皮山县巴什兰干乡卫生院2023年支出预算733.63万元，其中：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基本支出232.89万元，占31.74%，比上年预算增加26.49万元，增长12.83%，主要原因是工资福利，社会保障费增加。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项目支出500.74万元，占68.26%，比上年预算增加250.74万元，增长100.30%，主要原因是住院，门诊患者增加，项目增加。</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四、关于皮山县巴什兰干乡卫生院2023年财政拨款收支预算情况的总体说明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2023年财政拨款收支总预算317.66万元。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收入预算包括：一般公共预算拨款317.66万元。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一般公共预算支出包括：社会保障和就业支出34.81万元，主要用于工资福利，社会保障支出。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卫生健康支出282.85万元，主要用于人员经费，工资、保险缴费、住房公积金等支出。</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五、关于皮山县巴什兰干乡卫生院2023年一般公共预算当年拨款情况说明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皮山县巴什兰干乡卫生院2023年一般公共预算拨款合计317.66万元，其中：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基本支出232.89万元，比上年预算增加26.49万元，增长12.83%。主要原因是：工资福利，社会保障费增加。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项目支出84.77万元，比上年预算减少165.23万元，下降66.09%。主要原因是：办公费，印刷费，取暖费减少。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1.社会保障和就业支出（类）34.81万元，占10.96%。</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2.卫生健康支出（类）282.85万元，占89.04%。</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1.社会保障和就业支出（类）行政事业单位养老支出（款）机关事业单位基本养老保险缴费支出（项）:2023年预算数为23.21万元，比上年预算数增加2.22万元，增长10.58%，主要原因是：增加人员，养老保险缴费基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2.社会保障和就业支出（类）行政事业单位养老支出（款）机关事业单位职业年金缴费支出（项）:2023年预算数为11.6万元，比上年预算数增加1.11万元，增长10.58%，主要原因是：增加人员，职业年金缴费基数增加。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3.卫生健康支出（类）卫生健康管理事务（款）其他卫生健康管理事务支出（项）:2023年预算数为10.37万元，比上年预算数增加10.37万元，增长100.00%，主要原因是：上年末未纳入预算。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4.卫生健康支出（类）基层医疗卫生机构（款）乡镇卫生院（项）:2023年预算数为198.08万元，比上年预算数减少226.84万元，下降53.38%，主要原因是：调整五险一金，人员绩效津贴补贴减少。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5.卫生健康支出（类）基层医疗卫生机构（款）其他基层医疗卫生机构支出（项）:2023年预算数为6.34万元，比上年预算数增加6.34万元，增长100.00%，主要原因是：上年末未纳入预算。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6.卫生健康支出（类）公共卫生（款）基本公共卫生服务（项）:2023年预算数为42.11万元，比上年预算数增加42.11万元，增长100.00%，主要原因是：上年末未纳入预算。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7.卫生健康支出（类）公共卫生（款）重大公共卫生服务（项）:2023年预算数为1.11万元，比上年预算数增加1.11万元，增长100.00%，主要原因是：上年末未纳入预算。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8.卫生健康支出（类）公共卫生（款）其他公共卫生支出（项）:2023年预算数为24.84万元，比上年预算数增加24.84万元，增长100.00%，主要原因是：上年末未纳入预算。</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六、关于皮山县巴什兰干乡卫生院2023年一般公共预算基本支出情况说明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皮山县巴什兰干乡卫生院2023年一般公共预算基本支出232.89万元，其中：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人员经费232.89万元，主要包括：基本工资、津贴补贴、奖金、绩效工资、机关事业单位基本养老保险缴费、职业年金缴费、城镇职工基本医疗保险缴费、其他社会保障缴费、住房公积金、取暖费、生活补助。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公用经费0万元，主要包括：无。</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七、关于皮山县巴什兰干乡卫生院2023年一般公共预算项目支出情况说明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1.项目名称：2023年自治区医疗服务与保障能力提升（卫生健康人才培养）补助资金。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设立的政策依据：和地财社〔2022〕78号。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预算安排规模：10.368万元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项目承担单位：皮山县巴什兰杆乡卫生院。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资金分配情况：用于开展医疗服务与保障能力提升（卫生健康人才培养）补助资金。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资金执行时间：2023年1月1日—2023年12月31日。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2.项目名称：2023年自治区公共卫生服务（地方公共卫生）补助资金。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设立的政策依据：和地财社〔2022〕79号。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预算安排规模：24.8432万元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项目承担单位：皮山县巴什兰杆乡卫生院。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资金分配情况：用于开展公共卫生服务（地方公共卫生）补助资金。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资金执行时间：2023年1月1日—2023年12月31日。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3.项目名称：2023年中央财政基本药物制度补助资金。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设立的政策依据：和地财社〔2022〕72号。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预算安排规模：6.3437万元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项目承担单位：皮山县巴什兰杆乡卫生院。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资金分配情况：用于开展基本药物制度补助资金。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资金执行时间：2023年1月1日—2023年12月31日。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4.项目名称：2023年基本公共卫生服务中央财政补助资金。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设立的政策依据：和地财社〔2022〕71号。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预算安排规模：33.371361万元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项目承担单位：皮山县巴什兰杆乡卫生院。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资金分配情况：用于开展基本公共卫生服务资金。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资金执行时间：2023年1月1日—2023年12月31日。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5.项目名称：2023年中央财政重大传染病防治补助资金。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设立的政策依据：和地财社〔2022〕76号。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预算安排规模：1.11万元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项目承担单位：皮山县巴什兰杆乡卫生院。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资金分配情况：用于开展重大传染病防治工作补助资金。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资金执行时间：2023年1月1日—2023年12月31日。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6.项目名称：2023年自治区公共卫生服务补助资金。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设立的政策依据：和地财社〔2022〕73号。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预算安排规模：8.743455万元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项目承担单位：皮山县巴什兰杆乡卫生院。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资金分配情况：用于开展基本公共卫生服务工作资金。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资金执行时间：2023年1月1日—2023年12月31日。</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八、关于皮山县巴什兰干乡卫生院2023年政府性基金预算拨款情况说明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皮山县巴什兰干乡卫生院2023年没有使用政府性基金预算拨款安排的支出，政府性基金预算支出情况表为空表。</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九、关于皮山县巴什兰干乡卫生院2023年国有资本经营预算拨款情况说明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皮山县巴什兰干乡卫生院2023年没有使用国有资本经营预算拨款安排的支出，国有资本经营预算支出情况表为空表。</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十、关于皮山县巴什兰干乡卫生院2023年财政拨款“三公”经费预算情况说明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皮山县巴什兰干乡卫生院2023年财政拨款“三公”经费数为0万元，其中：因公出国（境）费0万元，公务用车购置费0万元，公务用车运行费0万元，公务接待费0万元。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因公出国（境）费增加0万元，增长0%，主要原因是无。公务用车购置费增加0万元，增长0%，主要原因是无。公务用车运行费增加0万元，增长0%，主要原因是无。公务接待费增加0万元，增长0%，主要原因是无。</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十一、其他重要事项的情况说明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（一）机关运行经费情况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2023年，皮山县巴什兰干乡卫生院本级及下属0家行政单位和0家事业单位的机关运行经费财政拨款预算0万元，比上年预算增加0万元，增长0%。主要原因是无。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2023年，皮山县巴什兰干乡卫生院政府采购预算0万元，其中：政府采购货物预算0万元，政府采购工程预算0万元，政府采购服务预算0万元。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截至2022年底，皮山县巴什兰干乡卫生院及下属各预算单位占用使用国有资产总体情况为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1.房屋1345平方米，价值450万元。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2.车辆2辆，价值45.00万元；其中：一般公务用车0辆，价值0万元；执法执勤用车0辆，价值0万元；其他车辆2辆，价值45万元。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3.办公家具价值280万元。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4.其他资产价值394万元。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（四）预算绩效情况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2023年，本年度预算绩效管理的财政拨款项目6个，涉及预算金额79.070386万元；非财政拨款项目0个，涉及预算金额0万元。具体情况见下表：</w:t>
      </w:r>
    </w:p>
    <w:p/>
    <w:p/>
    <w:p/>
    <w:p/>
    <w:p/>
    <w:p/>
    <w:p/>
    <w:p/>
    <w:p/>
    <w:p/>
    <w:p/>
    <w:p/>
    <w:p/>
    <w:p/>
    <w:p/>
    <w:p/>
    <w:p/>
    <w:p/>
    <w:p/>
    <w:p/>
    <w:p/>
    <w:p/>
    <w:tbl>
      <w:tblPr>
        <w:tblStyle w:val="3"/>
        <w:tblpPr w:leftFromText="180" w:rightFromText="180" w:vertAnchor="text" w:horzAnchor="page" w:tblpX="1690" w:tblpY="1"/>
        <w:tblOverlap w:val="never"/>
        <w:tblW w:w="89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8955" w:type="dxa"/>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65" w:hRule="atLeast"/>
        </w:trPr>
        <w:tc>
          <w:tcPr>
            <w:tcW w:w="8955" w:type="dxa"/>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bl>
    <w:tbl>
      <w:tblPr>
        <w:tblStyle w:val="3"/>
        <w:tblW w:w="9002" w:type="dxa"/>
        <w:tblInd w:w="-249"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80"/>
        <w:gridCol w:w="821"/>
        <w:gridCol w:w="1440"/>
        <w:gridCol w:w="1189"/>
        <w:gridCol w:w="1140"/>
        <w:gridCol w:w="778"/>
        <w:gridCol w:w="1007"/>
        <w:gridCol w:w="841"/>
        <w:gridCol w:w="13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0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w:t>
            </w:r>
            <w:r>
              <w:rPr>
                <w:rFonts w:hint="eastAsia" w:ascii="仿宋" w:hAnsi="仿宋" w:eastAsia="仿宋" w:cs="仿宋"/>
                <w:position w:val="8"/>
                <w:sz w:val="20"/>
                <w:lang w:val="en-US" w:eastAsia="zh-CN"/>
              </w:rPr>
              <w:t>部门</w:t>
            </w:r>
          </w:p>
        </w:tc>
        <w:tc>
          <w:tcPr>
            <w:tcW w:w="7701"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皮山县巴什兰</w:t>
            </w:r>
            <w:r>
              <w:rPr>
                <w:rFonts w:hint="eastAsia" w:ascii="仿宋" w:hAnsi="仿宋" w:eastAsia="仿宋" w:cs="仿宋"/>
                <w:position w:val="8"/>
                <w:sz w:val="20"/>
                <w:lang w:val="en-US" w:eastAsia="zh-CN"/>
              </w:rPr>
              <w:t>干</w:t>
            </w:r>
            <w:r>
              <w:rPr>
                <w:rFonts w:ascii="仿宋" w:hAnsi="仿宋" w:eastAsia="仿宋" w:cs="仿宋"/>
                <w:position w:val="8"/>
                <w:sz w:val="20"/>
              </w:rPr>
              <w:t>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846" w:hRule="atLeast"/>
        </w:trPr>
        <w:tc>
          <w:tcPr>
            <w:tcW w:w="130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6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2023年自治区医疗服务与保障能力提升（卫生健康人才培养）补助资金和地财社</w:t>
            </w:r>
            <w:r>
              <w:rPr>
                <w:rFonts w:hint="eastAsia" w:ascii="仿宋" w:hAnsi="仿宋" w:eastAsia="仿宋" w:cs="仿宋"/>
                <w:position w:val="8"/>
                <w:sz w:val="20"/>
                <w:lang w:eastAsia="zh-CN"/>
              </w:rPr>
              <w:t>〔2022〕78号</w:t>
            </w:r>
          </w:p>
        </w:tc>
        <w:tc>
          <w:tcPr>
            <w:tcW w:w="178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21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阿卜力克木·图如普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0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4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1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10.368</w:t>
            </w:r>
          </w:p>
        </w:tc>
        <w:tc>
          <w:tcPr>
            <w:tcW w:w="11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10.368</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21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0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701"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1.确保单位村医生工资、津贴、福利等正常发放；
2.贯彻落实好自治区及地区疫情防控指挥部的对疫情防控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858" w:hRule="atLeast"/>
        </w:trPr>
        <w:tc>
          <w:tcPr>
            <w:tcW w:w="4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4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1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13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4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医疗服务与保障能力提升（卫生健康人才培养）补助经费</w:t>
            </w:r>
          </w:p>
        </w:tc>
        <w:tc>
          <w:tcPr>
            <w:tcW w:w="11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≥103680</w:t>
            </w:r>
          </w:p>
        </w:tc>
        <w:tc>
          <w:tcPr>
            <w:tcW w:w="11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满意度赋分</w:t>
            </w:r>
          </w:p>
        </w:tc>
        <w:tc>
          <w:tcPr>
            <w:tcW w:w="13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 w:type="dxa"/>
            <w:vMerge w:val="continue"/>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4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完成期限</w:t>
            </w:r>
          </w:p>
        </w:tc>
        <w:tc>
          <w:tcPr>
            <w:tcW w:w="11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11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满意度赋分</w:t>
            </w:r>
          </w:p>
        </w:tc>
        <w:tc>
          <w:tcPr>
            <w:tcW w:w="13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 w:type="dxa"/>
            <w:vMerge w:val="continue"/>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4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服务质量</w:t>
            </w:r>
          </w:p>
        </w:tc>
        <w:tc>
          <w:tcPr>
            <w:tcW w:w="11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11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满意度赋分</w:t>
            </w:r>
          </w:p>
        </w:tc>
        <w:tc>
          <w:tcPr>
            <w:tcW w:w="13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03" w:hRule="atLeast"/>
        </w:trPr>
        <w:tc>
          <w:tcPr>
            <w:tcW w:w="480" w:type="dxa"/>
            <w:vMerge w:val="continue"/>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14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项目成本</w:t>
            </w:r>
          </w:p>
        </w:tc>
        <w:tc>
          <w:tcPr>
            <w:tcW w:w="11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满意度赋分</w:t>
            </w:r>
          </w:p>
        </w:tc>
        <w:tc>
          <w:tcPr>
            <w:tcW w:w="13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4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医疗服务与保障能力提升（卫生健康人才培养）补助经费节约</w:t>
            </w:r>
          </w:p>
        </w:tc>
        <w:tc>
          <w:tcPr>
            <w:tcW w:w="11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满意度赋分</w:t>
            </w:r>
          </w:p>
        </w:tc>
        <w:tc>
          <w:tcPr>
            <w:tcW w:w="13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4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加强基层医疗服务均等化，增强人民身心健康</w:t>
            </w:r>
          </w:p>
        </w:tc>
        <w:tc>
          <w:tcPr>
            <w:tcW w:w="11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满意度赋分</w:t>
            </w:r>
          </w:p>
        </w:tc>
        <w:tc>
          <w:tcPr>
            <w:tcW w:w="13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4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促进生态环境健康发展</w:t>
            </w:r>
          </w:p>
        </w:tc>
        <w:tc>
          <w:tcPr>
            <w:tcW w:w="11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满意度赋分</w:t>
            </w:r>
          </w:p>
        </w:tc>
        <w:tc>
          <w:tcPr>
            <w:tcW w:w="13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 w:type="dxa"/>
            <w:vMerge w:val="continue"/>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可持续影响指标</w:t>
            </w:r>
          </w:p>
        </w:tc>
        <w:tc>
          <w:tcPr>
            <w:tcW w:w="14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促进新疆卫生事业的健康发展</w:t>
            </w:r>
          </w:p>
        </w:tc>
        <w:tc>
          <w:tcPr>
            <w:tcW w:w="11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满意度赋分</w:t>
            </w:r>
          </w:p>
        </w:tc>
        <w:tc>
          <w:tcPr>
            <w:tcW w:w="13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 w:type="dxa"/>
            <w:vMerge w:val="continue"/>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4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群众满意率</w:t>
            </w:r>
          </w:p>
        </w:tc>
        <w:tc>
          <w:tcPr>
            <w:tcW w:w="11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0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满意度赋分</w:t>
            </w:r>
          </w:p>
        </w:tc>
        <w:tc>
          <w:tcPr>
            <w:tcW w:w="13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工作资料</w:t>
            </w:r>
          </w:p>
        </w:tc>
      </w:tr>
    </w:tbl>
    <w:p>
      <w:r>
        <w:br w:type="page"/>
      </w:r>
    </w:p>
    <w:tbl>
      <w:tblPr>
        <w:tblStyle w:val="3"/>
        <w:tblpPr w:leftFromText="180" w:rightFromText="180" w:vertAnchor="text" w:horzAnchor="page" w:tblpX="1467" w:tblpY="515"/>
        <w:tblOverlap w:val="never"/>
        <w:tblW w:w="90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7" w:hRule="exact"/>
        </w:trPr>
        <w:tc>
          <w:tcPr>
            <w:tcW w:w="9045" w:type="dxa"/>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045" w:type="dxa"/>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bl>
    <w:p/>
    <w:tbl>
      <w:tblPr>
        <w:tblStyle w:val="3"/>
        <w:tblW w:w="9030" w:type="dxa"/>
        <w:tblInd w:w="-442"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972"/>
        <w:gridCol w:w="903"/>
        <w:gridCol w:w="1650"/>
        <w:gridCol w:w="855"/>
        <w:gridCol w:w="1320"/>
        <w:gridCol w:w="795"/>
        <w:gridCol w:w="630"/>
        <w:gridCol w:w="990"/>
        <w:gridCol w:w="91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7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w:t>
            </w:r>
            <w:r>
              <w:rPr>
                <w:rFonts w:hint="eastAsia" w:ascii="仿宋" w:hAnsi="仿宋" w:eastAsia="仿宋" w:cs="仿宋"/>
                <w:position w:val="8"/>
                <w:sz w:val="20"/>
                <w:lang w:val="en-US" w:eastAsia="zh-CN"/>
              </w:rPr>
              <w:t>部门</w:t>
            </w:r>
          </w:p>
        </w:tc>
        <w:tc>
          <w:tcPr>
            <w:tcW w:w="715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皮山县巴什兰杆乡卫生院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7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82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2023年自治区公共卫生服务（地方公共卫生）补助资金和地财社</w:t>
            </w:r>
            <w:r>
              <w:rPr>
                <w:rFonts w:hint="eastAsia" w:ascii="仿宋" w:hAnsi="仿宋" w:eastAsia="仿宋" w:cs="仿宋"/>
                <w:position w:val="8"/>
                <w:sz w:val="20"/>
                <w:lang w:eastAsia="zh-CN"/>
              </w:rPr>
              <w:t>〔2022〕79号</w:t>
            </w:r>
          </w:p>
        </w:tc>
        <w:tc>
          <w:tcPr>
            <w:tcW w:w="14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90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阿卜力克木·图如普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7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24.8432</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24.8432</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90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7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155"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1.确保单位全民免费健康体检临聘人员工资、津贴、福利等正常发放；
2.贯彻落实好自治区及地区全民免费健康体检工作的安排部署，提升健康体检能力；加强健康教育宣传力度，提高广大人民群众的防病意识；完成自治区及地区下发疾病预防，基本公共卫生，基本医疗任务的各项指标，强化疫情监测和报告工作，规范各项防控工作；加强全民免费健康体检的检测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024" w:hRule="atLeast"/>
        </w:trPr>
        <w:tc>
          <w:tcPr>
            <w:tcW w:w="97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公共卫生服务（地方公共卫生）补助经费</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≥248432</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93" w:hRule="atLeast"/>
        </w:trPr>
        <w:tc>
          <w:tcPr>
            <w:tcW w:w="97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7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7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979" w:hRule="atLeast"/>
        </w:trPr>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公共卫生服务（地方公共卫生）补助经费节约</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934" w:hRule="atLeast"/>
        </w:trPr>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668" w:hRule="atLeast"/>
        </w:trPr>
        <w:tc>
          <w:tcPr>
            <w:tcW w:w="97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848" w:hRule="atLeast"/>
        </w:trPr>
        <w:tc>
          <w:tcPr>
            <w:tcW w:w="97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763" w:hRule="atLeast"/>
        </w:trPr>
        <w:tc>
          <w:tcPr>
            <w:tcW w:w="97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8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3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bl>
    <w:p>
      <w:r>
        <w:br w:type="page"/>
      </w:r>
    </w:p>
    <w:tbl>
      <w:tblPr>
        <w:tblStyle w:val="3"/>
        <w:tblpPr w:leftFromText="180" w:rightFromText="180" w:vertAnchor="text" w:horzAnchor="page" w:tblpX="1422" w:tblpY="1"/>
        <w:tblOverlap w:val="never"/>
        <w:tblW w:w="91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150" w:type="dxa"/>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65" w:hRule="atLeast"/>
        </w:trPr>
        <w:tc>
          <w:tcPr>
            <w:tcW w:w="9150" w:type="dxa"/>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bl>
    <w:tbl>
      <w:tblPr>
        <w:tblStyle w:val="3"/>
        <w:tblW w:w="9120" w:type="dxa"/>
        <w:tblInd w:w="-472"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13"/>
        <w:gridCol w:w="509"/>
        <w:gridCol w:w="1259"/>
        <w:gridCol w:w="1636"/>
        <w:gridCol w:w="1285"/>
        <w:gridCol w:w="775"/>
        <w:gridCol w:w="814"/>
        <w:gridCol w:w="1050"/>
        <w:gridCol w:w="97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22" w:type="dxa"/>
            <w:gridSpan w:val="2"/>
            <w:tcBorders>
              <w:top w:val="single" w:color="auto" w:sz="0" w:space="0"/>
              <w:left w:val="single" w:color="auto" w:sz="0" w:space="0"/>
              <w:bottom w:val="single" w:color="auto" w:sz="0" w:space="0"/>
              <w:right w:val="single" w:color="auto" w:sz="0" w:space="0"/>
            </w:tcBorders>
            <w:vAlign w:val="center"/>
          </w:tcPr>
          <w:p>
            <w:pPr>
              <w:ind w:firstLine="400" w:firstLineChars="200"/>
              <w:jc w:val="both"/>
            </w:pPr>
            <w:r>
              <w:rPr>
                <w:rFonts w:ascii="仿宋" w:hAnsi="仿宋" w:eastAsia="仿宋" w:cs="仿宋"/>
                <w:position w:val="8"/>
                <w:sz w:val="20"/>
              </w:rPr>
              <w:t>预算</w:t>
            </w:r>
            <w:r>
              <w:rPr>
                <w:rFonts w:hint="eastAsia" w:ascii="仿宋" w:hAnsi="仿宋" w:eastAsia="仿宋" w:cs="仿宋"/>
                <w:position w:val="8"/>
                <w:sz w:val="20"/>
                <w:lang w:val="en-US" w:eastAsia="zh-CN"/>
              </w:rPr>
              <w:t>部门</w:t>
            </w:r>
          </w:p>
        </w:tc>
        <w:tc>
          <w:tcPr>
            <w:tcW w:w="7798"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皮山县巴什兰杆乡卫生院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2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18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2023年中央财政基本药物制度补助资金和地财社</w:t>
            </w:r>
            <w:r>
              <w:rPr>
                <w:rFonts w:hint="eastAsia" w:ascii="仿宋" w:hAnsi="仿宋" w:eastAsia="仿宋" w:cs="仿宋"/>
                <w:position w:val="8"/>
                <w:sz w:val="20"/>
                <w:lang w:eastAsia="zh-CN"/>
              </w:rPr>
              <w:t>〔2022〕72号</w:t>
            </w:r>
          </w:p>
        </w:tc>
        <w:tc>
          <w:tcPr>
            <w:tcW w:w="15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202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阿卜力克木·图如普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2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2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6.3437</w:t>
            </w:r>
          </w:p>
        </w:tc>
        <w:tc>
          <w:tcPr>
            <w:tcW w:w="12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6.3437</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202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2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798"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1.确保单位村医生基本药物制度补助劳务费等正常发放；
2.贯彻落实好中央、自治区及地区对基本药物制度补助工作的安排部署，提升疾病疫情防控能力；加强健康教育宣传力度，提高广大人民群众的防病意识；完成中央、自治区及地区下发疾病预防，基本公共卫生，基本医疗任务的各项指标，强化疫情监测和报告工作，规范各项防控工作；加强疾病的</w:t>
            </w:r>
            <w:r>
              <w:rPr>
                <w:rFonts w:hint="eastAsia" w:ascii="仿宋" w:hAnsi="仿宋" w:eastAsia="仿宋" w:cs="仿宋"/>
                <w:position w:val="8"/>
                <w:sz w:val="20"/>
                <w:lang w:eastAsia="zh-CN"/>
              </w:rPr>
              <w:t>监测</w:t>
            </w:r>
            <w:r>
              <w:rPr>
                <w:rFonts w:ascii="仿宋" w:hAnsi="仿宋" w:eastAsia="仿宋" w:cs="仿宋"/>
                <w:position w:val="8"/>
                <w:sz w:val="20"/>
              </w:rPr>
              <w:t>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5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2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2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5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2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基本药物制度补助经费</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≥63437</w:t>
            </w:r>
          </w:p>
        </w:tc>
        <w:tc>
          <w:tcPr>
            <w:tcW w:w="12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5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2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12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5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2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12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5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2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2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2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基本药物制度补助经费节约</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2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2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2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2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2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5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2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2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5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25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2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bl>
    <w:p>
      <w:r>
        <w:br w:type="page"/>
      </w:r>
    </w:p>
    <w:tbl>
      <w:tblPr>
        <w:tblStyle w:val="3"/>
        <w:tblpPr w:leftFromText="180" w:rightFromText="180" w:vertAnchor="text" w:horzAnchor="page" w:tblpX="1962" w:tblpY="1"/>
        <w:tblOverlap w:val="never"/>
        <w:tblW w:w="85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8565" w:type="dxa"/>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65" w:hRule="atLeast"/>
        </w:trPr>
        <w:tc>
          <w:tcPr>
            <w:tcW w:w="8565" w:type="dxa"/>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bl>
    <w:p/>
    <w:tbl>
      <w:tblPr>
        <w:tblStyle w:val="3"/>
        <w:tblW w:w="8568"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53"/>
        <w:gridCol w:w="915"/>
        <w:gridCol w:w="1158"/>
        <w:gridCol w:w="1345"/>
        <w:gridCol w:w="975"/>
        <w:gridCol w:w="936"/>
        <w:gridCol w:w="800"/>
        <w:gridCol w:w="1047"/>
        <w:gridCol w:w="83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w:t>
            </w:r>
            <w:r>
              <w:rPr>
                <w:rFonts w:hint="eastAsia" w:ascii="仿宋" w:hAnsi="仿宋" w:eastAsia="仿宋" w:cs="仿宋"/>
                <w:position w:val="8"/>
                <w:sz w:val="20"/>
                <w:lang w:val="en-US" w:eastAsia="zh-CN"/>
              </w:rPr>
              <w:t>部门</w:t>
            </w:r>
          </w:p>
        </w:tc>
        <w:tc>
          <w:tcPr>
            <w:tcW w:w="710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皮山县巴什兰杆乡卫生院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47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2023年基本公共卫生服务中央财政补助资金和地财社</w:t>
            </w:r>
            <w:r>
              <w:rPr>
                <w:rFonts w:hint="eastAsia" w:ascii="仿宋" w:hAnsi="仿宋" w:eastAsia="仿宋" w:cs="仿宋"/>
                <w:position w:val="8"/>
                <w:sz w:val="20"/>
                <w:lang w:eastAsia="zh-CN"/>
              </w:rPr>
              <w:t>〔2022〕71号</w:t>
            </w:r>
          </w:p>
        </w:tc>
        <w:tc>
          <w:tcPr>
            <w:tcW w:w="173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88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阿卜力克木·图如普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6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1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3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33.371361</w:t>
            </w: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33.371361</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88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752" w:hRule="atLeast"/>
        </w:trPr>
        <w:tc>
          <w:tcPr>
            <w:tcW w:w="146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100"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1.确保单位基本公共卫生服务项目临聘人员工资、津贴、福利等正常发放；
2.贯彻落实好中央、自治区及地区对基本公共卫生服务项目工作的安排部署，提升基本公共卫生服务能力；加强健康教育宣传力度，提高广大人民群众的防病意识；完成中央、自治区及地区下发疾病预防，基本公共卫生，基本医疗任务的各项指标，强化疫情监测和报告工作，规范各项防控工作；加强基本公共卫生服务的</w:t>
            </w:r>
            <w:r>
              <w:rPr>
                <w:rFonts w:hint="eastAsia" w:ascii="仿宋" w:hAnsi="仿宋" w:eastAsia="仿宋" w:cs="仿宋"/>
                <w:position w:val="8"/>
                <w:sz w:val="20"/>
                <w:lang w:eastAsia="zh-CN"/>
              </w:rPr>
              <w:t>监测</w:t>
            </w:r>
            <w:r>
              <w:rPr>
                <w:rFonts w:ascii="仿宋" w:hAnsi="仿宋" w:eastAsia="仿宋" w:cs="仿宋"/>
                <w:position w:val="8"/>
                <w:sz w:val="20"/>
              </w:rPr>
              <w:t>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1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3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基本公共卫生服务补助经费</w:t>
            </w:r>
          </w:p>
        </w:tc>
        <w:tc>
          <w:tcPr>
            <w:tcW w:w="13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≥333713.61</w:t>
            </w: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3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3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89" w:hRule="atLeast"/>
        </w:trPr>
        <w:tc>
          <w:tcPr>
            <w:tcW w:w="5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3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基本公共卫生服务补助经费节约</w:t>
            </w:r>
          </w:p>
        </w:tc>
        <w:tc>
          <w:tcPr>
            <w:tcW w:w="13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3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3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3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3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bl>
    <w:p>
      <w:r>
        <w:br w:type="page"/>
      </w:r>
    </w:p>
    <w:tbl>
      <w:tblPr>
        <w:tblStyle w:val="3"/>
        <w:tblpPr w:leftFromText="180" w:rightFromText="180" w:vertAnchor="text" w:horzAnchor="page" w:tblpX="1887" w:tblpY="1"/>
        <w:tblOverlap w:val="never"/>
        <w:tblW w:w="86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8640" w:type="dxa"/>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65" w:hRule="atLeast"/>
        </w:trPr>
        <w:tc>
          <w:tcPr>
            <w:tcW w:w="8640" w:type="dxa"/>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bl>
    <w:p/>
    <w:tbl>
      <w:tblPr>
        <w:tblStyle w:val="3"/>
        <w:tblW w:w="8553"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14"/>
        <w:gridCol w:w="1049"/>
        <w:gridCol w:w="1128"/>
        <w:gridCol w:w="1368"/>
        <w:gridCol w:w="1130"/>
        <w:gridCol w:w="564"/>
        <w:gridCol w:w="770"/>
        <w:gridCol w:w="1143"/>
        <w:gridCol w:w="7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w:t>
            </w:r>
            <w:r>
              <w:rPr>
                <w:rFonts w:hint="eastAsia" w:ascii="仿宋" w:hAnsi="仿宋" w:eastAsia="仿宋" w:cs="仿宋"/>
                <w:position w:val="8"/>
                <w:sz w:val="20"/>
                <w:lang w:val="en-US" w:eastAsia="zh-CN"/>
              </w:rPr>
              <w:t>部门</w:t>
            </w:r>
          </w:p>
        </w:tc>
        <w:tc>
          <w:tcPr>
            <w:tcW w:w="689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皮山县巴什兰杆乡卫生院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62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2023年中央财政重大传染病防治补助资金和地财社</w:t>
            </w:r>
            <w:r>
              <w:rPr>
                <w:rFonts w:hint="eastAsia" w:ascii="仿宋" w:hAnsi="仿宋" w:eastAsia="仿宋" w:cs="仿宋"/>
                <w:position w:val="8"/>
                <w:sz w:val="20"/>
                <w:lang w:eastAsia="zh-CN"/>
              </w:rPr>
              <w:t>〔2022〕76号</w:t>
            </w:r>
          </w:p>
        </w:tc>
        <w:tc>
          <w:tcPr>
            <w:tcW w:w="133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93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阿卜力克木·图如普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3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1.11</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1.11</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93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890"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贯彻落实好中央、自治区及地区对重大传染病防治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10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3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14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10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重大传染病防治工作补助经费</w:t>
            </w:r>
          </w:p>
        </w:tc>
        <w:tc>
          <w:tcPr>
            <w:tcW w:w="13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≥11100</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3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3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3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重大传染病防治补助工作经费节约</w:t>
            </w:r>
          </w:p>
        </w:tc>
        <w:tc>
          <w:tcPr>
            <w:tcW w:w="13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3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3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3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1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3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bl>
    <w:p>
      <w:r>
        <w:br w:type="page"/>
      </w:r>
    </w:p>
    <w:tbl>
      <w:tblPr>
        <w:tblStyle w:val="3"/>
        <w:tblpPr w:leftFromText="180" w:rightFromText="180" w:vertAnchor="text" w:horzAnchor="page" w:tblpX="1947" w:tblpY="1"/>
        <w:tblOverlap w:val="never"/>
        <w:tblW w:w="86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8610" w:type="dxa"/>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65" w:hRule="atLeast"/>
        </w:trPr>
        <w:tc>
          <w:tcPr>
            <w:tcW w:w="8610" w:type="dxa"/>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bl>
    <w:p/>
    <w:tbl>
      <w:tblPr>
        <w:tblStyle w:val="3"/>
        <w:tblW w:w="8598"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36"/>
        <w:gridCol w:w="927"/>
        <w:gridCol w:w="1055"/>
        <w:gridCol w:w="1636"/>
        <w:gridCol w:w="1055"/>
        <w:gridCol w:w="969"/>
        <w:gridCol w:w="823"/>
        <w:gridCol w:w="977"/>
        <w:gridCol w:w="92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w:t>
            </w:r>
            <w:r>
              <w:rPr>
                <w:rFonts w:hint="eastAsia" w:ascii="仿宋" w:hAnsi="仿宋" w:eastAsia="仿宋" w:cs="仿宋"/>
                <w:position w:val="8"/>
                <w:sz w:val="20"/>
                <w:lang w:val="en-US" w:eastAsia="zh-CN"/>
              </w:rPr>
              <w:t>部门</w:t>
            </w:r>
          </w:p>
        </w:tc>
        <w:tc>
          <w:tcPr>
            <w:tcW w:w="743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皮山县巴什兰杆乡卫生院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4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2023年自治区公共卫生服务补助资金和地财社</w:t>
            </w:r>
            <w:r>
              <w:rPr>
                <w:rFonts w:hint="eastAsia" w:ascii="仿宋" w:hAnsi="仿宋" w:eastAsia="仿宋" w:cs="仿宋"/>
                <w:position w:val="8"/>
                <w:sz w:val="20"/>
                <w:lang w:eastAsia="zh-CN"/>
              </w:rPr>
              <w:t>〔2022〕73号</w:t>
            </w:r>
          </w:p>
        </w:tc>
        <w:tc>
          <w:tcPr>
            <w:tcW w:w="179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89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阿卜力克木·图如普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8.743455</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8.743455</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89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435"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1.确保单位基本公共卫生服务项目临聘人员工资、津贴、福利等正常发放；
2.贯彻落实好自治区及地区对基本公共卫生服务项目工作的安排部署，提升基本公共卫生服务能力；加强健康教育宣传力度，提高广大人民群众的防病意识；完成自治区及地区下发疾病预防，基本公共卫生，基本医疗任务的各项指标，强化疫情监测和报告工作，规范各项防控工作；加强基本公共卫生服务的</w:t>
            </w:r>
            <w:r>
              <w:rPr>
                <w:rFonts w:hint="eastAsia" w:ascii="仿宋" w:hAnsi="仿宋" w:eastAsia="仿宋" w:cs="仿宋"/>
                <w:position w:val="8"/>
                <w:sz w:val="20"/>
                <w:lang w:eastAsia="zh-CN"/>
              </w:rPr>
              <w:t>监测</w:t>
            </w:r>
            <w:r>
              <w:rPr>
                <w:rFonts w:ascii="仿宋" w:hAnsi="仿宋" w:eastAsia="仿宋" w:cs="仿宋"/>
                <w:position w:val="8"/>
                <w:sz w:val="20"/>
              </w:rPr>
              <w:t>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基本公共卫生服务补助经费</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≥87434.55</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16" w:hRule="atLeast"/>
        </w:trPr>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86" w:hRule="atLeast"/>
        </w:trPr>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基本公共卫生服务补助经费节约</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26" w:hRule="atLeast"/>
        </w:trPr>
        <w:tc>
          <w:tcPr>
            <w:tcW w:w="23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r>
    </w:tbl>
    <w:p>
      <w:pPr>
        <w:bidi w:val="0"/>
        <w:jc w:val="left"/>
        <w:rPr>
          <w:rFonts w:asciiTheme="minorHAnsi" w:hAnsiTheme="minorHAnsi" w:eastAsiaTheme="minorEastAsia" w:cstheme="minorBidi"/>
          <w:sz w:val="21"/>
          <w:szCs w:val="22"/>
        </w:rPr>
      </w:pPr>
    </w:p>
    <w:p>
      <w:pPr>
        <w:bidi w:val="0"/>
        <w:jc w:val="left"/>
        <w:rPr>
          <w:rFonts w:asciiTheme="minorHAnsi" w:hAnsiTheme="minorHAnsi" w:eastAsiaTheme="minorEastAsia" w:cstheme="minorBidi"/>
          <w:sz w:val="21"/>
          <w:szCs w:val="22"/>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sz w:val="32"/>
          <w:szCs w:val="32"/>
          <w:highlight w:val="none"/>
        </w:rPr>
      </w:pPr>
      <w:r>
        <w:rPr>
          <w:rFonts w:hint="eastAsia" w:ascii="黑体" w:hAnsi="黑体" w:eastAsia="黑体"/>
          <w:kern w:val="0"/>
          <w:sz w:val="32"/>
          <w:szCs w:val="32"/>
          <w:highlight w:val="none"/>
        </w:rPr>
        <w:t>第四部分名词解释</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部门（单位）支出预算的组成部分，是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w:t>
      </w:r>
      <w:r>
        <w:rPr>
          <w:rFonts w:hint="eastAsia" w:ascii="仿宋_GB2312" w:eastAsia="仿宋_GB2312"/>
          <w:sz w:val="32"/>
          <w:szCs w:val="32"/>
          <w:highlight w:val="none"/>
          <w:lang w:eastAsia="zh-CN"/>
        </w:rPr>
        <w:t>反映</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bidi w:val="0"/>
        <w:jc w:val="left"/>
        <w:rPr>
          <w:rFonts w:asciiTheme="minorHAnsi" w:hAnsiTheme="minorHAnsi" w:eastAsiaTheme="minorEastAsia" w:cstheme="minorBidi"/>
          <w:sz w:val="21"/>
          <w:szCs w:val="22"/>
        </w:rPr>
      </w:pPr>
    </w:p>
    <w:p>
      <w:pPr>
        <w:bidi w:val="0"/>
        <w:jc w:val="left"/>
        <w:rPr>
          <w:rFonts w:asciiTheme="minorHAnsi" w:hAnsiTheme="minorHAnsi" w:eastAsiaTheme="minorEastAsia" w:cstheme="minorBidi"/>
          <w:sz w:val="21"/>
          <w:szCs w:val="22"/>
        </w:rPr>
      </w:pPr>
    </w:p>
    <w:p>
      <w:pPr>
        <w:bidi w:val="0"/>
        <w:jc w:val="left"/>
        <w:rPr>
          <w:rFonts w:asciiTheme="minorHAnsi" w:hAnsiTheme="minorHAnsi" w:eastAsiaTheme="minorEastAsia" w:cstheme="minorBidi"/>
          <w:sz w:val="21"/>
          <w:szCs w:val="22"/>
        </w:rPr>
      </w:pPr>
    </w:p>
    <w:p>
      <w:pPr>
        <w:bidi w:val="0"/>
        <w:jc w:val="left"/>
        <w:rPr>
          <w:rFonts w:asciiTheme="minorHAnsi" w:hAnsiTheme="minorHAnsi" w:eastAsiaTheme="minorEastAsia" w:cstheme="minorBidi"/>
          <w:sz w:val="21"/>
          <w:szCs w:val="22"/>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2682" w:firstLineChars="900"/>
        <w:jc w:val="both"/>
        <w:textAlignment w:val="auto"/>
        <w:outlineLvl w:val="9"/>
        <w:rPr>
          <w:rFonts w:hint="eastAsia" w:ascii="仿宋_GB2312" w:hAnsi="Times New Roman" w:eastAsia="仿宋_GB2312" w:cs="Times New Roman"/>
          <w:b w:val="0"/>
          <w:color w:val="auto"/>
          <w:spacing w:val="-11"/>
          <w:kern w:val="2"/>
          <w:sz w:val="32"/>
          <w:szCs w:val="32"/>
          <w:highlight w:val="none"/>
          <w:lang w:eastAsia="zh-CN"/>
        </w:rPr>
      </w:pPr>
      <w:r>
        <w:rPr>
          <w:rFonts w:hint="eastAsia" w:ascii="仿宋_GB2312" w:hAnsi="Times New Roman" w:eastAsia="仿宋_GB2312" w:cs="Times New Roman"/>
          <w:b w:val="0"/>
          <w:color w:val="auto"/>
          <w:spacing w:val="-11"/>
          <w:kern w:val="2"/>
          <w:sz w:val="32"/>
          <w:szCs w:val="32"/>
          <w:highlight w:val="none"/>
          <w:lang w:eastAsia="zh-CN"/>
        </w:rPr>
        <w:t>皮山县巴什兰干乡卫生院</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center"/>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2023</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18</w:t>
      </w:r>
      <w:r>
        <w:rPr>
          <w:rFonts w:ascii="仿宋_GB2312" w:hAnsi="宋体" w:eastAsia="仿宋_GB2312" w:cs="宋体"/>
          <w:kern w:val="0"/>
          <w:sz w:val="32"/>
          <w:szCs w:val="32"/>
          <w:highlight w:val="none"/>
        </w:rPr>
        <w:t>日</w:t>
      </w:r>
    </w:p>
    <w:p>
      <w:pPr>
        <w:jc w:val="center"/>
        <w:rPr>
          <w:highlight w:val="none"/>
        </w:rPr>
      </w:pPr>
    </w:p>
    <w:p>
      <w:pPr>
        <w:bidi w:val="0"/>
        <w:jc w:val="left"/>
        <w:rPr>
          <w:rFonts w:asciiTheme="minorHAnsi" w:hAnsiTheme="minorHAnsi" w:eastAsiaTheme="minorEastAsia" w:cstheme="minorBidi"/>
          <w:sz w:val="21"/>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9524C7"/>
    <w:rsid w:val="007C0F2D"/>
    <w:rsid w:val="037C1244"/>
    <w:rsid w:val="052B1173"/>
    <w:rsid w:val="06D03D80"/>
    <w:rsid w:val="0C41056F"/>
    <w:rsid w:val="0F955B67"/>
    <w:rsid w:val="106B68C8"/>
    <w:rsid w:val="156D6C3E"/>
    <w:rsid w:val="15923959"/>
    <w:rsid w:val="16816E45"/>
    <w:rsid w:val="17A96653"/>
    <w:rsid w:val="181347CA"/>
    <w:rsid w:val="18814EDA"/>
    <w:rsid w:val="1A393593"/>
    <w:rsid w:val="1BC25F36"/>
    <w:rsid w:val="1BD47A17"/>
    <w:rsid w:val="1C705992"/>
    <w:rsid w:val="1CC63804"/>
    <w:rsid w:val="1DCE61F5"/>
    <w:rsid w:val="23EE3640"/>
    <w:rsid w:val="2524556B"/>
    <w:rsid w:val="271C2272"/>
    <w:rsid w:val="279664C8"/>
    <w:rsid w:val="309524C7"/>
    <w:rsid w:val="346A0AC1"/>
    <w:rsid w:val="35793D59"/>
    <w:rsid w:val="35944047"/>
    <w:rsid w:val="3A1F234D"/>
    <w:rsid w:val="3AF9494C"/>
    <w:rsid w:val="3B713DAE"/>
    <w:rsid w:val="3D5D11C3"/>
    <w:rsid w:val="3F2802DF"/>
    <w:rsid w:val="40EE65D6"/>
    <w:rsid w:val="416E27E2"/>
    <w:rsid w:val="42B31885"/>
    <w:rsid w:val="42E45EE2"/>
    <w:rsid w:val="47226FD9"/>
    <w:rsid w:val="491C0184"/>
    <w:rsid w:val="4ACC3E2B"/>
    <w:rsid w:val="4C577725"/>
    <w:rsid w:val="4F075681"/>
    <w:rsid w:val="4F55619D"/>
    <w:rsid w:val="4F6939F7"/>
    <w:rsid w:val="4FFC2ABD"/>
    <w:rsid w:val="50EC48E0"/>
    <w:rsid w:val="513D15DF"/>
    <w:rsid w:val="523C53F3"/>
    <w:rsid w:val="53FB308C"/>
    <w:rsid w:val="5438608E"/>
    <w:rsid w:val="582B2191"/>
    <w:rsid w:val="5915074C"/>
    <w:rsid w:val="5A0F7891"/>
    <w:rsid w:val="5BAE7513"/>
    <w:rsid w:val="5C1B251D"/>
    <w:rsid w:val="5D1C479E"/>
    <w:rsid w:val="5E3E0745"/>
    <w:rsid w:val="63716EC6"/>
    <w:rsid w:val="65676B3C"/>
    <w:rsid w:val="66D63C10"/>
    <w:rsid w:val="68A613C0"/>
    <w:rsid w:val="68CF0917"/>
    <w:rsid w:val="6A116D0D"/>
    <w:rsid w:val="733E5017"/>
    <w:rsid w:val="73797DFD"/>
    <w:rsid w:val="74BA691F"/>
    <w:rsid w:val="78146346"/>
    <w:rsid w:val="7A944FB3"/>
    <w:rsid w:val="7AFC477A"/>
    <w:rsid w:val="7EC81C39"/>
    <w:rsid w:val="7F052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1392</Words>
  <Characters>1571</Characters>
  <Lines>0</Lines>
  <Paragraphs>0</Paragraphs>
  <TotalTime>5</TotalTime>
  <ScaleCrop>false</ScaleCrop>
  <LinksUpToDate>false</LinksUpToDate>
  <CharactersWithSpaces>1694</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2025-06-20T08:57:00Z</dcterms:created>
  <dc:creator>B-R</dc:creator>
  <cp:lastModifiedBy>Administrator</cp:lastModifiedBy>
  <dcterms:modified xsi:type="dcterms:W3CDTF">2025-07-23T03:13:00Z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35C37958D3344611948AD349B451585F_11</vt:lpwstr>
  </property>
  <property fmtid="{D5CDD505-2E9C-101B-9397-08002B2CF9AE}" pid="4" name="KSOTemplateDocerSaveRecord">
    <vt:lpwstr>eyJoZGlkIjoiZmJiYzM4NGMxNTU2MDViMDQzMzBjNGQ5NThlMWYxNDciLCJ1c2VySWQiOiI5NTc2ODg5MzgifQ==</vt:lpwstr>
  </property>
</Properties>
</file>