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200" w:right="200"/>
        <w:jc w:val="center"/>
        <w:rPr>
          <w:highlight w:val="none"/>
        </w:rPr>
      </w:pPr>
      <w:r>
        <w:rPr>
          <w:rFonts w:ascii="黑体" w:hAnsi="黑体" w:eastAsia="黑体" w:cs="黑体"/>
          <w:position w:val="30"/>
          <w:sz w:val="42"/>
          <w:highlight w:val="none"/>
        </w:rPr>
        <w:br w:type="textWrapping"/>
      </w:r>
      <w:r>
        <w:rPr>
          <w:rFonts w:ascii="黑体" w:hAnsi="黑体" w:eastAsia="黑体" w:cs="黑体"/>
          <w:position w:val="30"/>
          <w:sz w:val="42"/>
          <w:highlight w:val="none"/>
        </w:rPr>
        <w:br w:type="textWrapping"/>
      </w:r>
      <w:r>
        <w:rPr>
          <w:rFonts w:ascii="黑体" w:hAnsi="黑体" w:eastAsia="黑体" w:cs="黑体"/>
          <w:position w:val="30"/>
          <w:sz w:val="42"/>
          <w:highlight w:val="none"/>
        </w:rPr>
        <w:br w:type="textWrapping"/>
      </w:r>
      <w:r>
        <w:rPr>
          <w:rFonts w:ascii="黑体" w:hAnsi="黑体" w:eastAsia="黑体" w:cs="黑体"/>
          <w:position w:val="30"/>
          <w:sz w:val="42"/>
          <w:highlight w:val="none"/>
        </w:rPr>
        <w:br w:type="textWrapping"/>
      </w:r>
      <w:r>
        <w:rPr>
          <w:rFonts w:ascii="黑体" w:hAnsi="黑体" w:eastAsia="黑体" w:cs="黑体"/>
          <w:position w:val="30"/>
          <w:sz w:val="42"/>
          <w:highlight w:val="none"/>
        </w:rPr>
        <w:br w:type="textWrapping"/>
      </w:r>
      <w:r>
        <w:rPr>
          <w:rFonts w:ascii="黑体" w:hAnsi="黑体" w:eastAsia="黑体" w:cs="黑体"/>
          <w:position w:val="30"/>
          <w:sz w:val="42"/>
          <w:highlight w:val="none"/>
        </w:rPr>
        <w:t>皮山县皮西那乡中心小学</w:t>
      </w:r>
    </w:p>
    <w:p>
      <w:pPr>
        <w:spacing w:before="150"/>
        <w:ind w:left="200" w:right="200"/>
        <w:jc w:val="center"/>
        <w:rPr>
          <w:highlight w:val="none"/>
        </w:rPr>
      </w:pPr>
      <w:r>
        <w:rPr>
          <w:rFonts w:ascii="黑体" w:hAnsi="黑体" w:eastAsia="黑体" w:cs="黑体"/>
          <w:position w:val="30"/>
          <w:sz w:val="42"/>
          <w:highlight w:val="none"/>
        </w:rPr>
        <w:t>2023年</w:t>
      </w:r>
      <w:r>
        <w:rPr>
          <w:rFonts w:hint="eastAsia" w:ascii="黑体" w:hAnsi="黑体" w:eastAsia="黑体" w:cs="黑体"/>
          <w:position w:val="30"/>
          <w:sz w:val="42"/>
          <w:highlight w:val="none"/>
          <w:lang w:val="en-US" w:eastAsia="zh-CN"/>
        </w:rPr>
        <w:t>部门</w:t>
      </w:r>
      <w:r>
        <w:rPr>
          <w:rFonts w:ascii="黑体" w:hAnsi="黑体" w:eastAsia="黑体" w:cs="黑体"/>
          <w:position w:val="30"/>
          <w:sz w:val="42"/>
          <w:highlight w:val="none"/>
        </w:rPr>
        <w:t>预算公开</w:t>
      </w:r>
    </w:p>
    <w:p>
      <w:pPr>
        <w:rPr>
          <w:highlight w:val="none"/>
        </w:rPr>
      </w:pPr>
      <w:r>
        <w:rPr>
          <w:highlight w:val="none"/>
        </w:rPr>
        <w:br w:type="page"/>
      </w:r>
    </w:p>
    <w:p>
      <w:pPr>
        <w:jc w:val="center"/>
        <w:rPr>
          <w:highlight w:val="none"/>
        </w:rPr>
      </w:pPr>
      <w:r>
        <w:rPr>
          <w:rFonts w:ascii="黑体" w:hAnsi="黑体" w:eastAsia="黑体" w:cs="黑体"/>
          <w:position w:val="30"/>
          <w:sz w:val="42"/>
          <w:highlight w:val="none"/>
        </w:rPr>
        <w:t>目录</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黑体" w:hAnsi="黑体" w:eastAsia="黑体" w:cs="黑体"/>
          <w:position w:val="15"/>
          <w:sz w:val="32"/>
          <w:szCs w:val="32"/>
          <w:highlight w:val="none"/>
        </w:rPr>
        <w:t>第一部分</w:t>
      </w:r>
      <w:r>
        <w:rPr>
          <w:rFonts w:hint="eastAsia" w:ascii="黑体" w:hAnsi="黑体" w:eastAsia="黑体" w:cs="黑体"/>
          <w:position w:val="15"/>
          <w:sz w:val="32"/>
          <w:szCs w:val="32"/>
          <w:highlight w:val="none"/>
          <w:lang w:val="en-US" w:eastAsia="zh-CN"/>
        </w:rPr>
        <w:t>2023年部门</w:t>
      </w:r>
      <w:r>
        <w:rPr>
          <w:rFonts w:ascii="黑体" w:hAnsi="黑体" w:eastAsia="黑体" w:cs="黑体"/>
          <w:position w:val="15"/>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黑体" w:hAnsi="黑体" w:eastAsia="黑体" w:cs="黑体"/>
          <w:position w:val="15"/>
          <w:sz w:val="32"/>
          <w:szCs w:val="32"/>
          <w:highlight w:val="none"/>
        </w:rPr>
        <w:t>第二部分2023年单位预算公开表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一、</w:t>
      </w:r>
      <w:r>
        <w:rPr>
          <w:rFonts w:hint="eastAsia" w:ascii="仿宋" w:hAnsi="仿宋" w:eastAsia="仿宋" w:cs="仿宋"/>
          <w:position w:val="10"/>
          <w:sz w:val="32"/>
          <w:szCs w:val="32"/>
          <w:highlight w:val="none"/>
          <w:lang w:val="en-US" w:eastAsia="zh-CN"/>
        </w:rPr>
        <w:t>部门</w:t>
      </w:r>
      <w:r>
        <w:rPr>
          <w:rFonts w:ascii="仿宋" w:hAnsi="仿宋" w:eastAsia="仿宋" w:cs="仿宋"/>
          <w:position w:val="1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二、</w:t>
      </w:r>
      <w:r>
        <w:rPr>
          <w:rFonts w:hint="eastAsia" w:ascii="仿宋" w:hAnsi="仿宋" w:eastAsia="仿宋" w:cs="仿宋"/>
          <w:position w:val="10"/>
          <w:sz w:val="32"/>
          <w:szCs w:val="32"/>
          <w:highlight w:val="none"/>
          <w:lang w:val="en-US" w:eastAsia="zh-CN"/>
        </w:rPr>
        <w:t>部门</w:t>
      </w:r>
      <w:r>
        <w:rPr>
          <w:rFonts w:ascii="仿宋" w:hAnsi="仿宋" w:eastAsia="仿宋" w:cs="仿宋"/>
          <w:position w:val="1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三、</w:t>
      </w:r>
      <w:r>
        <w:rPr>
          <w:rFonts w:hint="eastAsia" w:ascii="仿宋" w:hAnsi="仿宋" w:eastAsia="仿宋" w:cs="仿宋"/>
          <w:position w:val="10"/>
          <w:sz w:val="32"/>
          <w:szCs w:val="32"/>
          <w:highlight w:val="none"/>
          <w:lang w:val="en-US" w:eastAsia="zh-CN"/>
        </w:rPr>
        <w:t>部门</w:t>
      </w:r>
      <w:r>
        <w:rPr>
          <w:rFonts w:ascii="仿宋" w:hAnsi="仿宋" w:eastAsia="仿宋" w:cs="仿宋"/>
          <w:position w:val="1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四、财政拨款收支预算总体情况表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七、一般公共预算项目支出情况表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八、政府性基金预算支出情况表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九、国有资本经营预算支出情况表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十、财政拨款“三公”经费支出情况表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黑体" w:hAnsi="黑体" w:eastAsia="黑体" w:cs="黑体"/>
          <w:position w:val="15"/>
          <w:sz w:val="32"/>
          <w:szCs w:val="32"/>
          <w:highlight w:val="none"/>
        </w:rPr>
        <w:t>第三部分2023年单位预算情况说明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一、关于皮山县皮西那乡中心小学2023年收支预算情况的总体说明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二、关于皮山县皮西那乡中心小学2023年收入预算情况说明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三、关于皮山县皮西那乡中心小学2023年支出预算情况说明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四、关于皮山县皮西那乡中心小学2023年财政拨款收支预算情况的总体说明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五、关于皮山县皮西那乡中心小学2023年一般公共预算当年拨款情况说明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六、关于皮山县皮西那乡中心小学2023年一般公共预算基本支出情况说明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七、关于皮山县皮西那乡中心小学2023年一般公共预算项目支出情况说明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八、关于皮山县皮西那乡中心小学2023年政府性基金预算拨款情况说明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九、关于皮山县皮西那乡中心小学2023年国有资本经营预算拨款情况说明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十、关于皮山县皮西那乡中心小学2023年财政拨款“三公”经费预算情况说明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十一、其他重要事项的情况说明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黑体" w:hAnsi="黑体" w:eastAsia="黑体" w:cs="黑体"/>
          <w:position w:val="15"/>
          <w:sz w:val="32"/>
          <w:szCs w:val="32"/>
          <w:highlight w:val="none"/>
        </w:rPr>
        <w:t>第四部分名词解释</w:t>
      </w:r>
    </w:p>
    <w:p>
      <w:pPr>
        <w:rPr>
          <w:highlight w:val="none"/>
        </w:rPr>
        <w:sectPr>
          <w:pgMar w:top="1440" w:right="1803" w:bottom="1440" w:left="1803" w:header="720" w:footer="720" w:gutter="0"/>
          <w:cols w:space="720" w:num="1"/>
          <w:rtlGutter w:val="0"/>
          <w:docGrid w:linePitch="0" w:charSpace="0"/>
        </w:sectPr>
      </w:pPr>
      <w:r>
        <w:rPr>
          <w:highlight w:val="none"/>
        </w:rPr>
        <w:br w:type="textWrapping"/>
      </w:r>
    </w:p>
    <w:p>
      <w:pPr>
        <w:ind w:left="200" w:right="200" w:firstLine="500"/>
        <w:jc w:val="center"/>
        <w:rPr>
          <w:highlight w:val="none"/>
        </w:rPr>
      </w:pPr>
      <w:r>
        <w:rPr>
          <w:rFonts w:ascii="黑体" w:hAnsi="黑体" w:eastAsia="黑体" w:cs="黑体"/>
          <w:position w:val="30"/>
          <w:sz w:val="42"/>
          <w:highlight w:val="none"/>
        </w:rPr>
        <w:t>第一部分</w:t>
      </w:r>
      <w:r>
        <w:rPr>
          <w:rFonts w:hint="eastAsia" w:ascii="黑体" w:hAnsi="黑体" w:eastAsia="黑体" w:cs="黑体"/>
          <w:position w:val="30"/>
          <w:sz w:val="42"/>
          <w:highlight w:val="none"/>
          <w:lang w:val="en-US" w:eastAsia="zh-CN"/>
        </w:rPr>
        <w:t>2023年部门</w:t>
      </w:r>
      <w:r>
        <w:rPr>
          <w:rFonts w:ascii="黑体" w:hAnsi="黑体" w:eastAsia="黑体" w:cs="黑体"/>
          <w:position w:val="30"/>
          <w:sz w:val="42"/>
          <w:highlight w:val="none"/>
        </w:rPr>
        <w:t>概况</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highlight w:val="none"/>
        </w:rPr>
      </w:pPr>
      <w:r>
        <w:rPr>
          <w:rFonts w:ascii="黑体" w:hAnsi="黑体" w:eastAsia="黑体" w:cs="黑体"/>
          <w:position w:val="20"/>
          <w:sz w:val="32"/>
          <w:szCs w:val="32"/>
          <w:highlight w:val="none"/>
        </w:rPr>
        <w:t>一、主要职能</w:t>
      </w:r>
    </w:p>
    <w:p>
      <w:pPr>
        <w:pStyle w:val="5"/>
        <w:keepNext w:val="0"/>
        <w:keepLines w:val="0"/>
        <w:pageBreakBefore w:val="0"/>
        <w:widowControl w:val="0"/>
        <w:kinsoku/>
        <w:wordWrap/>
        <w:overflowPunct/>
        <w:topLinePunct w:val="0"/>
        <w:autoSpaceDE/>
        <w:autoSpaceDN/>
        <w:bidi w:val="0"/>
        <w:adjustRightInd/>
        <w:snapToGrid/>
        <w:spacing w:line="560" w:lineRule="exact"/>
        <w:ind w:firstLine="560"/>
        <w:textAlignment w:val="auto"/>
        <w:outlineLvl w:val="9"/>
        <w:rPr>
          <w:rFonts w:hint="eastAsia" w:ascii="仿宋" w:hAnsi="仿宋" w:eastAsia="仿宋" w:cs="仿宋"/>
          <w:position w:val="10"/>
          <w:sz w:val="32"/>
          <w:szCs w:val="32"/>
          <w:highlight w:val="none"/>
        </w:rPr>
      </w:pPr>
      <w:r>
        <w:rPr>
          <w:rFonts w:hint="eastAsia" w:ascii="仿宋" w:hAnsi="仿宋" w:eastAsia="仿宋" w:cs="仿宋"/>
          <w:position w:val="10"/>
          <w:sz w:val="32"/>
          <w:szCs w:val="32"/>
          <w:highlight w:val="none"/>
        </w:rPr>
        <w:t>（1）贯彻落实国家及自治区、地区、县</w:t>
      </w:r>
      <w:r>
        <w:rPr>
          <w:rFonts w:hint="eastAsia" w:ascii="仿宋" w:hAnsi="仿宋" w:eastAsia="仿宋" w:cs="仿宋"/>
          <w:position w:val="10"/>
          <w:sz w:val="32"/>
          <w:szCs w:val="32"/>
          <w:highlight w:val="none"/>
          <w:lang w:val="en-US" w:eastAsia="zh-CN"/>
        </w:rPr>
        <w:t>相</w:t>
      </w:r>
      <w:r>
        <w:rPr>
          <w:rFonts w:hint="eastAsia" w:ascii="仿宋" w:hAnsi="仿宋" w:eastAsia="仿宋" w:cs="仿宋"/>
          <w:position w:val="10"/>
          <w:sz w:val="32"/>
          <w:szCs w:val="32"/>
          <w:highlight w:val="none"/>
        </w:rPr>
        <w:t>关教育的</w:t>
      </w:r>
      <w:r>
        <w:rPr>
          <w:rFonts w:hint="eastAsia" w:ascii="仿宋" w:hAnsi="仿宋" w:eastAsia="仿宋" w:cs="仿宋"/>
          <w:position w:val="10"/>
          <w:sz w:val="32"/>
          <w:szCs w:val="32"/>
          <w:highlight w:val="none"/>
          <w:lang w:eastAsia="zh-CN"/>
        </w:rPr>
        <w:t>法律法规</w:t>
      </w:r>
      <w:r>
        <w:rPr>
          <w:rFonts w:hint="eastAsia" w:ascii="仿宋" w:hAnsi="仿宋" w:eastAsia="仿宋" w:cs="仿宋"/>
          <w:position w:val="10"/>
          <w:sz w:val="32"/>
          <w:szCs w:val="32"/>
          <w:highlight w:val="none"/>
        </w:rPr>
        <w:t>、政策、规章制度等，坚持正确的育人导向。</w:t>
      </w:r>
    </w:p>
    <w:p>
      <w:pPr>
        <w:pStyle w:val="5"/>
        <w:keepNext w:val="0"/>
        <w:keepLines w:val="0"/>
        <w:pageBreakBefore w:val="0"/>
        <w:widowControl w:val="0"/>
        <w:kinsoku/>
        <w:wordWrap/>
        <w:overflowPunct/>
        <w:topLinePunct w:val="0"/>
        <w:autoSpaceDE/>
        <w:autoSpaceDN/>
        <w:bidi w:val="0"/>
        <w:adjustRightInd/>
        <w:snapToGrid/>
        <w:spacing w:line="560" w:lineRule="exact"/>
        <w:ind w:firstLine="560"/>
        <w:textAlignment w:val="auto"/>
        <w:outlineLvl w:val="9"/>
        <w:rPr>
          <w:rFonts w:hint="eastAsia" w:ascii="仿宋" w:hAnsi="仿宋" w:eastAsia="仿宋" w:cs="仿宋"/>
          <w:position w:val="10"/>
          <w:sz w:val="32"/>
          <w:szCs w:val="32"/>
          <w:highlight w:val="none"/>
        </w:rPr>
      </w:pPr>
      <w:r>
        <w:rPr>
          <w:rFonts w:hint="eastAsia" w:ascii="仿宋" w:hAnsi="仿宋" w:eastAsia="仿宋" w:cs="仿宋"/>
          <w:position w:val="10"/>
          <w:sz w:val="32"/>
          <w:szCs w:val="32"/>
          <w:highlight w:val="none"/>
        </w:rPr>
        <w:t>（2）实施</w:t>
      </w:r>
      <w:r>
        <w:rPr>
          <w:rFonts w:hint="eastAsia" w:ascii="仿宋" w:hAnsi="仿宋" w:eastAsia="仿宋" w:cs="仿宋"/>
          <w:position w:val="10"/>
          <w:sz w:val="32"/>
          <w:szCs w:val="32"/>
          <w:highlight w:val="none"/>
          <w:lang w:val="en-US" w:eastAsia="zh-CN"/>
        </w:rPr>
        <w:t>小</w:t>
      </w:r>
      <w:r>
        <w:rPr>
          <w:rFonts w:hint="eastAsia" w:ascii="仿宋" w:hAnsi="仿宋" w:eastAsia="仿宋" w:cs="仿宋"/>
          <w:position w:val="10"/>
          <w:sz w:val="32"/>
          <w:szCs w:val="32"/>
          <w:highlight w:val="none"/>
        </w:rPr>
        <w:t>学教育，促进义务教育发展。</w:t>
      </w:r>
    </w:p>
    <w:p>
      <w:pPr>
        <w:pStyle w:val="5"/>
        <w:keepNext w:val="0"/>
        <w:keepLines w:val="0"/>
        <w:pageBreakBefore w:val="0"/>
        <w:widowControl w:val="0"/>
        <w:kinsoku/>
        <w:wordWrap/>
        <w:overflowPunct/>
        <w:topLinePunct w:val="0"/>
        <w:autoSpaceDE/>
        <w:autoSpaceDN/>
        <w:bidi w:val="0"/>
        <w:adjustRightInd/>
        <w:snapToGrid/>
        <w:spacing w:line="560" w:lineRule="exact"/>
        <w:ind w:firstLine="560"/>
        <w:textAlignment w:val="auto"/>
        <w:outlineLvl w:val="9"/>
        <w:rPr>
          <w:rFonts w:hint="eastAsia" w:ascii="仿宋" w:hAnsi="仿宋" w:eastAsia="仿宋" w:cs="仿宋"/>
          <w:position w:val="10"/>
          <w:sz w:val="32"/>
          <w:szCs w:val="32"/>
          <w:highlight w:val="none"/>
        </w:rPr>
      </w:pPr>
      <w:r>
        <w:rPr>
          <w:rFonts w:hint="eastAsia" w:ascii="仿宋" w:hAnsi="仿宋" w:eastAsia="仿宋" w:cs="仿宋"/>
          <w:position w:val="10"/>
          <w:sz w:val="32"/>
          <w:szCs w:val="32"/>
          <w:highlight w:val="none"/>
        </w:rPr>
        <w:t>（3）加强教育法律法规的学习宣传，完善依法治校措施，使学校逐步步入法</w:t>
      </w:r>
      <w:r>
        <w:rPr>
          <w:rFonts w:hint="eastAsia" w:ascii="仿宋" w:hAnsi="仿宋" w:eastAsia="仿宋" w:cs="仿宋"/>
          <w:position w:val="10"/>
          <w:sz w:val="32"/>
          <w:szCs w:val="32"/>
          <w:highlight w:val="none"/>
          <w:lang w:eastAsia="zh-CN"/>
        </w:rPr>
        <w:t>治</w:t>
      </w:r>
      <w:r>
        <w:rPr>
          <w:rFonts w:hint="eastAsia" w:ascii="仿宋" w:hAnsi="仿宋" w:eastAsia="仿宋" w:cs="仿宋"/>
          <w:position w:val="10"/>
          <w:sz w:val="32"/>
          <w:szCs w:val="32"/>
          <w:highlight w:val="none"/>
        </w:rPr>
        <w:t>化轨道。</w:t>
      </w:r>
    </w:p>
    <w:p>
      <w:pPr>
        <w:pStyle w:val="5"/>
        <w:keepNext w:val="0"/>
        <w:keepLines w:val="0"/>
        <w:pageBreakBefore w:val="0"/>
        <w:widowControl w:val="0"/>
        <w:kinsoku/>
        <w:wordWrap/>
        <w:overflowPunct/>
        <w:topLinePunct w:val="0"/>
        <w:autoSpaceDE/>
        <w:autoSpaceDN/>
        <w:bidi w:val="0"/>
        <w:adjustRightInd/>
        <w:snapToGrid/>
        <w:spacing w:line="560" w:lineRule="exact"/>
        <w:ind w:firstLine="560"/>
        <w:textAlignment w:val="auto"/>
        <w:outlineLvl w:val="9"/>
        <w:rPr>
          <w:rFonts w:hint="eastAsia" w:ascii="仿宋" w:hAnsi="仿宋" w:eastAsia="仿宋" w:cs="仿宋"/>
          <w:position w:val="10"/>
          <w:sz w:val="32"/>
          <w:szCs w:val="32"/>
          <w:highlight w:val="none"/>
        </w:rPr>
      </w:pPr>
      <w:r>
        <w:rPr>
          <w:rFonts w:hint="eastAsia" w:ascii="仿宋" w:hAnsi="仿宋" w:eastAsia="仿宋" w:cs="仿宋"/>
          <w:position w:val="10"/>
          <w:sz w:val="32"/>
          <w:szCs w:val="32"/>
          <w:highlight w:val="none"/>
        </w:rPr>
        <w:t>（4）培养学生的创新和实践能力，造就适应社会主义现代化</w:t>
      </w:r>
      <w:r>
        <w:rPr>
          <w:rFonts w:hint="eastAsia" w:ascii="仿宋" w:hAnsi="仿宋" w:eastAsia="仿宋" w:cs="仿宋"/>
          <w:position w:val="10"/>
          <w:sz w:val="32"/>
          <w:szCs w:val="32"/>
          <w:highlight w:val="none"/>
          <w:lang w:eastAsia="zh-CN"/>
        </w:rPr>
        <w:t>建设者和接班人</w:t>
      </w:r>
      <w:r>
        <w:rPr>
          <w:rFonts w:hint="eastAsia" w:ascii="仿宋" w:hAnsi="仿宋" w:eastAsia="仿宋" w:cs="仿宋"/>
          <w:position w:val="10"/>
          <w:sz w:val="32"/>
          <w:szCs w:val="32"/>
          <w:highlight w:val="none"/>
        </w:rPr>
        <w:t>，按教育规律办学，不断提高教育质量。</w:t>
      </w:r>
    </w:p>
    <w:p>
      <w:pPr>
        <w:pStyle w:val="5"/>
        <w:keepNext w:val="0"/>
        <w:keepLines w:val="0"/>
        <w:pageBreakBefore w:val="0"/>
        <w:widowControl w:val="0"/>
        <w:kinsoku/>
        <w:wordWrap/>
        <w:overflowPunct/>
        <w:topLinePunct w:val="0"/>
        <w:autoSpaceDE/>
        <w:autoSpaceDN/>
        <w:bidi w:val="0"/>
        <w:adjustRightInd/>
        <w:snapToGrid/>
        <w:spacing w:line="560" w:lineRule="exact"/>
        <w:ind w:firstLine="560"/>
        <w:textAlignment w:val="auto"/>
        <w:outlineLvl w:val="9"/>
        <w:rPr>
          <w:rFonts w:hint="eastAsia" w:ascii="仿宋" w:hAnsi="仿宋" w:eastAsia="仿宋" w:cs="仿宋"/>
          <w:position w:val="10"/>
          <w:sz w:val="32"/>
          <w:szCs w:val="32"/>
          <w:highlight w:val="none"/>
        </w:rPr>
      </w:pPr>
      <w:r>
        <w:rPr>
          <w:rFonts w:hint="eastAsia" w:ascii="仿宋" w:hAnsi="仿宋" w:eastAsia="仿宋" w:cs="仿宋"/>
          <w:position w:val="10"/>
          <w:sz w:val="32"/>
          <w:szCs w:val="32"/>
          <w:highlight w:val="none"/>
        </w:rPr>
        <w:t>（5）培养和团结教职员工，充分发挥教职工的</w:t>
      </w:r>
      <w:r>
        <w:rPr>
          <w:rFonts w:hint="eastAsia" w:ascii="仿宋" w:hAnsi="仿宋" w:eastAsia="仿宋" w:cs="仿宋"/>
          <w:position w:val="10"/>
          <w:sz w:val="32"/>
          <w:szCs w:val="32"/>
          <w:highlight w:val="none"/>
          <w:lang w:eastAsia="zh-CN"/>
        </w:rPr>
        <w:t>积极性、主动性、创造性</w:t>
      </w:r>
      <w:r>
        <w:rPr>
          <w:rFonts w:hint="eastAsia" w:ascii="仿宋" w:hAnsi="仿宋" w:eastAsia="仿宋" w:cs="仿宋"/>
          <w:position w:val="10"/>
          <w:sz w:val="32"/>
          <w:szCs w:val="32"/>
          <w:highlight w:val="none"/>
        </w:rPr>
        <w:t>，不断提高他们的业务能力和思想道德水准。</w:t>
      </w:r>
    </w:p>
    <w:p>
      <w:pPr>
        <w:pStyle w:val="5"/>
        <w:keepNext w:val="0"/>
        <w:keepLines w:val="0"/>
        <w:pageBreakBefore w:val="0"/>
        <w:widowControl w:val="0"/>
        <w:kinsoku/>
        <w:wordWrap/>
        <w:overflowPunct/>
        <w:topLinePunct w:val="0"/>
        <w:autoSpaceDE/>
        <w:autoSpaceDN/>
        <w:bidi w:val="0"/>
        <w:adjustRightInd/>
        <w:snapToGrid/>
        <w:spacing w:line="560" w:lineRule="exact"/>
        <w:ind w:firstLine="560"/>
        <w:textAlignment w:val="auto"/>
        <w:outlineLvl w:val="9"/>
        <w:rPr>
          <w:rFonts w:hint="eastAsia" w:ascii="仿宋" w:hAnsi="仿宋" w:eastAsia="仿宋" w:cs="仿宋"/>
          <w:position w:val="10"/>
          <w:sz w:val="32"/>
          <w:szCs w:val="32"/>
          <w:highlight w:val="none"/>
        </w:rPr>
      </w:pPr>
      <w:r>
        <w:rPr>
          <w:rFonts w:hint="eastAsia" w:ascii="仿宋" w:hAnsi="仿宋" w:eastAsia="仿宋" w:cs="仿宋"/>
          <w:position w:val="10"/>
          <w:sz w:val="32"/>
          <w:szCs w:val="32"/>
          <w:highlight w:val="none"/>
        </w:rPr>
        <w:t>（6）加强学校民主管理力度，实行民主监督，科学决策。</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highlight w:val="none"/>
        </w:rPr>
      </w:pPr>
      <w:r>
        <w:rPr>
          <w:rFonts w:hint="eastAsia" w:ascii="仿宋" w:hAnsi="仿宋" w:eastAsia="仿宋" w:cs="仿宋"/>
          <w:position w:val="10"/>
          <w:sz w:val="32"/>
          <w:szCs w:val="32"/>
          <w:highlight w:val="none"/>
        </w:rPr>
        <w:t>（7）承办</w:t>
      </w:r>
      <w:r>
        <w:rPr>
          <w:rFonts w:hint="eastAsia" w:ascii="仿宋" w:hAnsi="仿宋" w:eastAsia="仿宋" w:cs="仿宋"/>
          <w:position w:val="10"/>
          <w:sz w:val="32"/>
          <w:szCs w:val="32"/>
          <w:highlight w:val="none"/>
          <w:lang w:val="en-US" w:eastAsia="zh-CN"/>
        </w:rPr>
        <w:t>皮山县委、县政府</w:t>
      </w:r>
      <w:r>
        <w:rPr>
          <w:rFonts w:hint="eastAsia" w:ascii="仿宋" w:hAnsi="仿宋" w:eastAsia="仿宋" w:cs="仿宋"/>
          <w:position w:val="10"/>
          <w:sz w:val="32"/>
          <w:szCs w:val="32"/>
          <w:highlight w:val="none"/>
        </w:rPr>
        <w:t>及行政主管部门交办的其他工作。</w:t>
      </w:r>
      <w:r>
        <w:rPr>
          <w:rFonts w:ascii="黑体" w:hAnsi="黑体" w:eastAsia="黑体" w:cs="黑体"/>
          <w:position w:val="2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highlight w:val="none"/>
        </w:rPr>
      </w:pPr>
      <w:r>
        <w:rPr>
          <w:rFonts w:ascii="仿宋" w:hAnsi="仿宋" w:eastAsia="仿宋" w:cs="仿宋"/>
          <w:position w:val="10"/>
          <w:sz w:val="32"/>
          <w:szCs w:val="32"/>
          <w:highlight w:val="none"/>
        </w:rPr>
        <w:t>皮山县皮西那乡中心小学无下属预算单位，下设5个科室，分别是：教务室，总务室，党建办，德育办，教研室。</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highlight w:val="none"/>
        </w:rPr>
      </w:pPr>
      <w:r>
        <w:rPr>
          <w:rFonts w:ascii="仿宋" w:hAnsi="仿宋" w:eastAsia="仿宋" w:cs="仿宋"/>
          <w:position w:val="10"/>
          <w:sz w:val="32"/>
          <w:szCs w:val="32"/>
          <w:highlight w:val="none"/>
        </w:rPr>
        <w:t>皮山县皮西那乡中心小学单位编制数85，实有人数108人，其中：在职88人，增加3人；退休20人，增加0人；离休0人，增加0人。</w:t>
      </w:r>
    </w:p>
    <w:p>
      <w:pPr>
        <w:rPr>
          <w:highlight w:val="none"/>
        </w:rPr>
        <w:sectPr>
          <w:pgMar w:top="1440" w:right="1803" w:bottom="1440" w:left="1803" w:header="720" w:footer="720" w:gutter="0"/>
          <w:cols w:space="720" w:num="1"/>
          <w:rtlGutter w:val="0"/>
          <w:docGrid w:linePitch="0" w:charSpace="0"/>
        </w:sectPr>
      </w:pPr>
      <w:r>
        <w:rPr>
          <w:highlight w:val="none"/>
        </w:rPr>
        <w:br w:type="textWrapping"/>
      </w:r>
    </w:p>
    <w:p>
      <w:pPr>
        <w:ind w:left="200" w:right="200" w:firstLine="500"/>
        <w:jc w:val="center"/>
        <w:rPr>
          <w:highlight w:val="none"/>
        </w:rPr>
      </w:pPr>
      <w:r>
        <w:rPr>
          <w:rFonts w:ascii="黑体" w:hAnsi="黑体" w:eastAsia="黑体" w:cs="黑体"/>
          <w:position w:val="30"/>
          <w:sz w:val="42"/>
          <w:highlight w:val="none"/>
        </w:rPr>
        <w:t>第二部分2023年</w:t>
      </w:r>
      <w:r>
        <w:rPr>
          <w:rFonts w:hint="eastAsia" w:ascii="黑体" w:hAnsi="黑体" w:eastAsia="黑体" w:cs="黑体"/>
          <w:position w:val="30"/>
          <w:sz w:val="42"/>
          <w:highlight w:val="none"/>
          <w:lang w:val="en-US" w:eastAsia="zh-CN"/>
        </w:rPr>
        <w:t>部门</w:t>
      </w:r>
      <w:r>
        <w:rPr>
          <w:rFonts w:ascii="黑体" w:hAnsi="黑体" w:eastAsia="黑体" w:cs="黑体"/>
          <w:position w:val="30"/>
          <w:sz w:val="42"/>
          <w:highlight w:val="none"/>
        </w:rPr>
        <w:t>预算公开表</w:t>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805"/>
        <w:gridCol w:w="748"/>
        <w:gridCol w:w="3099"/>
        <w:gridCol w:w="74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left"/>
              <w:rPr>
                <w:highlight w:val="none"/>
              </w:rPr>
            </w:pPr>
            <w:r>
              <w:rPr>
                <w:rFonts w:ascii="仿宋" w:hAnsi="仿宋" w:eastAsia="仿宋" w:cs="仿宋"/>
                <w:position w:val="8"/>
                <w:sz w:val="20"/>
                <w:highlight w:val="none"/>
              </w:rPr>
              <w:t>表1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center"/>
              <w:rPr>
                <w:highlight w:val="none"/>
              </w:rPr>
            </w:pPr>
            <w:r>
              <w:rPr>
                <w:rFonts w:hint="eastAsia" w:ascii="黑体" w:hAnsi="黑体" w:eastAsia="黑体" w:cs="黑体"/>
                <w:position w:val="15"/>
                <w:sz w:val="28"/>
                <w:highlight w:val="none"/>
                <w:lang w:val="en-US" w:eastAsia="zh-CN"/>
              </w:rPr>
              <w:t>部门</w:t>
            </w:r>
            <w:r>
              <w:rPr>
                <w:rFonts w:ascii="黑体" w:hAnsi="黑体" w:eastAsia="黑体" w:cs="黑体"/>
                <w:position w:val="15"/>
                <w:sz w:val="28"/>
                <w:highlight w:val="none"/>
              </w:rPr>
              <w:t>收支总体情况表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53" w:type="dxa"/>
            <w:gridSpan w:val="2"/>
            <w:tcBorders>
              <w:top w:val="nil"/>
              <w:left w:val="nil"/>
              <w:right w:val="nil"/>
            </w:tcBorders>
            <w:vAlign w:val="center"/>
          </w:tcPr>
          <w:p>
            <w:pPr>
              <w:ind w:left="150"/>
              <w:jc w:val="left"/>
              <w:rPr>
                <w:highlight w:val="none"/>
              </w:rPr>
            </w:pPr>
            <w:r>
              <w:rPr>
                <w:rFonts w:ascii="仿宋" w:hAnsi="仿宋" w:eastAsia="仿宋" w:cs="仿宋"/>
                <w:position w:val="8"/>
                <w:sz w:val="20"/>
                <w:highlight w:val="none"/>
              </w:rPr>
              <w:t>编制</w:t>
            </w:r>
            <w:r>
              <w:rPr>
                <w:rFonts w:hint="eastAsia" w:ascii="仿宋" w:hAnsi="仿宋" w:eastAsia="仿宋" w:cs="仿宋"/>
                <w:position w:val="8"/>
                <w:sz w:val="20"/>
                <w:highlight w:val="none"/>
                <w:lang w:val="en-US" w:eastAsia="zh-CN"/>
              </w:rPr>
              <w:t>部门</w:t>
            </w:r>
            <w:r>
              <w:rPr>
                <w:rFonts w:ascii="仿宋" w:hAnsi="仿宋" w:eastAsia="仿宋" w:cs="仿宋"/>
                <w:position w:val="8"/>
                <w:sz w:val="20"/>
                <w:highlight w:val="none"/>
              </w:rPr>
              <w:t>：皮山县皮西那乡中心小学</w:t>
            </w:r>
          </w:p>
        </w:tc>
        <w:tc>
          <w:tcPr>
            <w:tcW w:w="3847" w:type="dxa"/>
            <w:gridSpan w:val="2"/>
            <w:tcBorders>
              <w:top w:val="nil"/>
              <w:left w:val="nil"/>
              <w:right w:val="nil"/>
            </w:tcBorders>
            <w:vAlign w:val="center"/>
          </w:tcPr>
          <w:p>
            <w:pPr>
              <w:ind w:left="150"/>
              <w:jc w:val="right"/>
              <w:rPr>
                <w:highlight w:val="none"/>
              </w:rPr>
            </w:pPr>
            <w:r>
              <w:rPr>
                <w:rFonts w:ascii="仿宋" w:hAnsi="仿宋" w:eastAsia="仿宋" w:cs="仿宋"/>
                <w:position w:val="8"/>
                <w:sz w:val="20"/>
                <w:highlight w:val="none"/>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53"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收入</w:t>
            </w:r>
          </w:p>
        </w:tc>
        <w:tc>
          <w:tcPr>
            <w:tcW w:w="3847"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项目</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预算数</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功能分类</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预算数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一、本年收入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1895.49</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201一般公共服务支出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1.一般公共预算拨款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1895.49</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202外交支出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其中：一般财力</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1472.34</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203国防支出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上级一般公共预算安排转移支付</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423.15</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204公共安全支出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2.基金预算拨款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205教育支出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2066.43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其中：政府性基金收入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206科学技术支出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上级政府性基金安排转移支付</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207文化旅游体育与传媒支出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3.国有资本经营预算拨款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208社会保障和就业支出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其中：国有资本经营收入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209社会保险基金支出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上级国有资本经营预算安排转移支付</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210卫生健康支出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4.财政专户核拨</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211节能环保支出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5.单位资金</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212城乡社区支出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其中：事业收入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213农林水支出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上级补助收入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214交通运输支出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附属单位上缴收入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215资源勘探工业信息等支出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事业单位经营收入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216商业服务业等支出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其他收入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217金融支出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二、上年结转结余</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170.94</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219援助其他地区支出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1.财政拨款结转</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170.94</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220自然资源海洋气象等支出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其中：一般公共预算拨款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170.94</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221住房保障支出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基金预算拨款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222粮油物资储备支出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国有资本经营预算拨款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223国有资本经营预算支出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2.非财政拨款结转结余</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224灾害防治及应急管理支出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其中：财政专户核拨</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227预备费</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单位资金</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229其他支出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230转移性支出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231债务还本支出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232债务付息支出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233债务发行费用支出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234抗疫特别国债安排的支出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收入总计</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2066.43</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支出总计</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2066.43</w:t>
            </w:r>
          </w:p>
        </w:tc>
      </w:tr>
    </w:tbl>
    <w:p>
      <w:pPr>
        <w:rPr>
          <w:highlight w:val="none"/>
        </w:rPr>
        <w:sectPr>
          <w:pgMar w:top="1440" w:right="1803" w:bottom="1440" w:left="1803" w:header="720" w:footer="720" w:gutter="0"/>
          <w:cols w:space="720" w:num="1"/>
          <w:rtlGutter w:val="0"/>
          <w:docGrid w:linePitch="0" w:charSpace="0"/>
        </w:sectPr>
      </w:pPr>
      <w:r>
        <w:rPr>
          <w:highlight w:val="none"/>
        </w:rP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61"/>
        <w:gridCol w:w="253"/>
        <w:gridCol w:w="253"/>
        <w:gridCol w:w="430"/>
        <w:gridCol w:w="602"/>
        <w:gridCol w:w="795"/>
        <w:gridCol w:w="685"/>
        <w:gridCol w:w="865"/>
        <w:gridCol w:w="402"/>
        <w:gridCol w:w="596"/>
        <w:gridCol w:w="430"/>
        <w:gridCol w:w="679"/>
        <w:gridCol w:w="657"/>
        <w:gridCol w:w="319"/>
        <w:gridCol w:w="616"/>
        <w:gridCol w:w="45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left"/>
              <w:rPr>
                <w:highlight w:val="none"/>
              </w:rPr>
            </w:pPr>
            <w:r>
              <w:rPr>
                <w:rFonts w:ascii="仿宋" w:hAnsi="仿宋" w:eastAsia="仿宋" w:cs="仿宋"/>
                <w:position w:val="8"/>
                <w:sz w:val="20"/>
                <w:highlight w:val="none"/>
              </w:rPr>
              <w:t>表2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center"/>
              <w:rPr>
                <w:highlight w:val="none"/>
              </w:rPr>
            </w:pPr>
            <w:r>
              <w:rPr>
                <w:rFonts w:hint="eastAsia" w:ascii="黑体" w:hAnsi="黑体" w:eastAsia="黑体" w:cs="黑体"/>
                <w:position w:val="15"/>
                <w:sz w:val="28"/>
                <w:highlight w:val="none"/>
                <w:lang w:eastAsia="zh-CN"/>
              </w:rPr>
              <w:t>部门</w:t>
            </w:r>
            <w:r>
              <w:rPr>
                <w:rFonts w:ascii="黑体" w:hAnsi="黑体" w:eastAsia="黑体" w:cs="黑体"/>
                <w:position w:val="15"/>
                <w:sz w:val="28"/>
                <w:highlight w:val="none"/>
              </w:rPr>
              <w:t>收入总体情况表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008" w:type="dxa"/>
            <w:gridSpan w:val="13"/>
            <w:tcBorders>
              <w:top w:val="nil"/>
              <w:left w:val="nil"/>
              <w:right w:val="nil"/>
            </w:tcBorders>
            <w:vAlign w:val="center"/>
          </w:tcPr>
          <w:p>
            <w:pPr>
              <w:ind w:left="150"/>
              <w:jc w:val="left"/>
              <w:rPr>
                <w:highlight w:val="none"/>
              </w:rPr>
            </w:pPr>
            <w:r>
              <w:rPr>
                <w:rFonts w:ascii="仿宋" w:hAnsi="仿宋" w:eastAsia="仿宋" w:cs="仿宋"/>
                <w:position w:val="8"/>
                <w:sz w:val="20"/>
                <w:highlight w:val="none"/>
              </w:rPr>
              <w:t>编制</w:t>
            </w:r>
            <w:r>
              <w:rPr>
                <w:rFonts w:hint="eastAsia" w:ascii="仿宋" w:hAnsi="仿宋" w:eastAsia="仿宋" w:cs="仿宋"/>
                <w:position w:val="8"/>
                <w:sz w:val="20"/>
                <w:highlight w:val="none"/>
                <w:lang w:val="en-US" w:eastAsia="zh-CN"/>
              </w:rPr>
              <w:t>部门</w:t>
            </w:r>
            <w:r>
              <w:rPr>
                <w:rFonts w:ascii="仿宋" w:hAnsi="仿宋" w:eastAsia="仿宋" w:cs="仿宋"/>
                <w:position w:val="8"/>
                <w:sz w:val="20"/>
                <w:highlight w:val="none"/>
              </w:rPr>
              <w:t>：皮山县皮西那乡中心小学</w:t>
            </w:r>
          </w:p>
        </w:tc>
        <w:tc>
          <w:tcPr>
            <w:tcW w:w="1392" w:type="dxa"/>
            <w:gridSpan w:val="3"/>
            <w:tcBorders>
              <w:top w:val="nil"/>
              <w:left w:val="nil"/>
              <w:right w:val="nil"/>
            </w:tcBorders>
            <w:vAlign w:val="center"/>
          </w:tcPr>
          <w:p>
            <w:pPr>
              <w:ind w:left="150"/>
              <w:jc w:val="right"/>
              <w:rPr>
                <w:highlight w:val="none"/>
              </w:rPr>
            </w:pPr>
            <w:r>
              <w:rPr>
                <w:rFonts w:ascii="仿宋" w:hAnsi="仿宋" w:eastAsia="仿宋" w:cs="仿宋"/>
                <w:position w:val="8"/>
                <w:sz w:val="20"/>
                <w:highlight w:val="none"/>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7"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功能分类编码</w:t>
            </w:r>
          </w:p>
        </w:tc>
        <w:tc>
          <w:tcPr>
            <w:tcW w:w="43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功能分类科目名称</w:t>
            </w:r>
          </w:p>
        </w:tc>
        <w:tc>
          <w:tcPr>
            <w:tcW w:w="60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总计</w:t>
            </w:r>
          </w:p>
        </w:tc>
        <w:tc>
          <w:tcPr>
            <w:tcW w:w="4452" w:type="dxa"/>
            <w:gridSpan w:val="7"/>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财政拨款（补助）</w:t>
            </w:r>
          </w:p>
        </w:tc>
        <w:tc>
          <w:tcPr>
            <w:tcW w:w="65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财政专户（教育收费）</w:t>
            </w:r>
          </w:p>
        </w:tc>
        <w:tc>
          <w:tcPr>
            <w:tcW w:w="31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单位资金</w:t>
            </w:r>
          </w:p>
        </w:tc>
        <w:tc>
          <w:tcPr>
            <w:tcW w:w="61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财政拨款结转</w:t>
            </w:r>
          </w:p>
        </w:tc>
        <w:tc>
          <w:tcPr>
            <w:tcW w:w="45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非财政拨款结转结余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1"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类</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款</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项</w:t>
            </w:r>
          </w:p>
        </w:tc>
        <w:tc>
          <w:tcPr>
            <w:tcW w:w="430" w:type="dxa"/>
            <w:vMerge w:val="continue"/>
          </w:tcPr>
          <w:p>
            <w:pPr>
              <w:rPr>
                <w:highlight w:val="none"/>
              </w:rPr>
            </w:pPr>
          </w:p>
        </w:tc>
        <w:tc>
          <w:tcPr>
            <w:tcW w:w="602" w:type="dxa"/>
            <w:vMerge w:val="continue"/>
          </w:tcPr>
          <w:p>
            <w:pPr>
              <w:rPr>
                <w:highlight w:val="none"/>
              </w:rPr>
            </w:pP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财政拨款（补助）小计</w:t>
            </w: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一般公共预算</w:t>
            </w:r>
          </w:p>
        </w:tc>
        <w:tc>
          <w:tcPr>
            <w:tcW w:w="865"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上级一般公共预算安排的转移支付</w:t>
            </w:r>
          </w:p>
        </w:tc>
        <w:tc>
          <w:tcPr>
            <w:tcW w:w="402"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政府性基金预算</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上级政府性基金安排的转移支付</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国有资本经营预算</w:t>
            </w:r>
          </w:p>
        </w:tc>
        <w:tc>
          <w:tcPr>
            <w:tcW w:w="679"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上级国有资本经营预算安排的转移支付</w:t>
            </w:r>
          </w:p>
        </w:tc>
        <w:tc>
          <w:tcPr>
            <w:tcW w:w="657" w:type="dxa"/>
            <w:vMerge w:val="continue"/>
          </w:tcPr>
          <w:p>
            <w:pPr>
              <w:rPr>
                <w:highlight w:val="none"/>
              </w:rPr>
            </w:pPr>
          </w:p>
        </w:tc>
        <w:tc>
          <w:tcPr>
            <w:tcW w:w="319" w:type="dxa"/>
            <w:vMerge w:val="continue"/>
          </w:tcPr>
          <w:p>
            <w:pPr>
              <w:rPr>
                <w:highlight w:val="none"/>
              </w:rPr>
            </w:pPr>
          </w:p>
        </w:tc>
        <w:tc>
          <w:tcPr>
            <w:tcW w:w="616" w:type="dxa"/>
            <w:vMerge w:val="continue"/>
          </w:tcPr>
          <w:p>
            <w:pPr>
              <w:rPr>
                <w:highlight w:val="none"/>
              </w:rPr>
            </w:pPr>
          </w:p>
        </w:tc>
        <w:tc>
          <w:tcPr>
            <w:tcW w:w="457" w:type="dxa"/>
            <w:vMerge w:val="continue"/>
          </w:tcPr>
          <w:p>
            <w:pPr>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1"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205</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教育支出</w:t>
            </w:r>
          </w:p>
        </w:tc>
        <w:tc>
          <w:tcPr>
            <w:tcW w:w="602"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2066.43</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1895.49</w:t>
            </w: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1472.34</w:t>
            </w:r>
          </w:p>
        </w:tc>
        <w:tc>
          <w:tcPr>
            <w:tcW w:w="865"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423.15</w:t>
            </w:r>
          </w:p>
        </w:tc>
        <w:tc>
          <w:tcPr>
            <w:tcW w:w="402"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679"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319"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170.94</w:t>
            </w:r>
          </w:p>
        </w:tc>
        <w:tc>
          <w:tcPr>
            <w:tcW w:w="457"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1"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205</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02</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普通教育</w:t>
            </w:r>
          </w:p>
        </w:tc>
        <w:tc>
          <w:tcPr>
            <w:tcW w:w="602"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2066.43</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1895.49</w:t>
            </w: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1472.34</w:t>
            </w:r>
          </w:p>
        </w:tc>
        <w:tc>
          <w:tcPr>
            <w:tcW w:w="865"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423.15</w:t>
            </w:r>
          </w:p>
        </w:tc>
        <w:tc>
          <w:tcPr>
            <w:tcW w:w="402"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679"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319"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170.94</w:t>
            </w:r>
          </w:p>
        </w:tc>
        <w:tc>
          <w:tcPr>
            <w:tcW w:w="457"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1"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205</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02</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02</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小学教育</w:t>
            </w:r>
          </w:p>
        </w:tc>
        <w:tc>
          <w:tcPr>
            <w:tcW w:w="602"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2066.43</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1895.49</w:t>
            </w: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1472.34</w:t>
            </w:r>
          </w:p>
        </w:tc>
        <w:tc>
          <w:tcPr>
            <w:tcW w:w="865"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423.15</w:t>
            </w:r>
          </w:p>
        </w:tc>
        <w:tc>
          <w:tcPr>
            <w:tcW w:w="402"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679"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319"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170.94</w:t>
            </w:r>
          </w:p>
        </w:tc>
        <w:tc>
          <w:tcPr>
            <w:tcW w:w="457"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合计</w:t>
            </w:r>
          </w:p>
        </w:tc>
        <w:tc>
          <w:tcPr>
            <w:tcW w:w="602"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2066.43</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1895.49</w:t>
            </w: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1472.34</w:t>
            </w:r>
          </w:p>
        </w:tc>
        <w:tc>
          <w:tcPr>
            <w:tcW w:w="865"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423.15</w:t>
            </w:r>
          </w:p>
        </w:tc>
        <w:tc>
          <w:tcPr>
            <w:tcW w:w="402"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679"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319"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170.94</w:t>
            </w:r>
          </w:p>
        </w:tc>
        <w:tc>
          <w:tcPr>
            <w:tcW w:w="457"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r>
    </w:tbl>
    <w:p>
      <w:pPr>
        <w:rPr>
          <w:highlight w:val="none"/>
        </w:rPr>
        <w:sectPr>
          <w:pgMar w:top="1440" w:right="1803" w:bottom="1440" w:left="1803" w:header="720" w:footer="720" w:gutter="0"/>
          <w:cols w:space="720" w:num="1"/>
          <w:rtlGutter w:val="0"/>
          <w:docGrid w:linePitch="0" w:charSpace="0"/>
        </w:sectPr>
      </w:pPr>
      <w:r>
        <w:rPr>
          <w:highlight w:val="none"/>
        </w:rP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002"/>
        <w:gridCol w:w="704"/>
        <w:gridCol w:w="704"/>
        <w:gridCol w:w="2650"/>
        <w:gridCol w:w="878"/>
        <w:gridCol w:w="1231"/>
        <w:gridCol w:w="123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rPr>
                <w:highlight w:val="none"/>
              </w:rPr>
            </w:pPr>
            <w:r>
              <w:rPr>
                <w:rFonts w:ascii="仿宋" w:hAnsi="仿宋" w:eastAsia="仿宋" w:cs="仿宋"/>
                <w:position w:val="8"/>
                <w:sz w:val="20"/>
                <w:highlight w:val="none"/>
              </w:rPr>
              <w:t>表3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rPr>
                <w:highlight w:val="none"/>
              </w:rPr>
            </w:pPr>
            <w:r>
              <w:rPr>
                <w:rFonts w:hint="eastAsia" w:ascii="黑体" w:hAnsi="黑体" w:eastAsia="黑体" w:cs="黑体"/>
                <w:position w:val="15"/>
                <w:sz w:val="28"/>
                <w:highlight w:val="none"/>
                <w:lang w:eastAsia="zh-CN"/>
              </w:rPr>
              <w:t>部门</w:t>
            </w:r>
            <w:r>
              <w:rPr>
                <w:rFonts w:ascii="黑体" w:hAnsi="黑体" w:eastAsia="黑体" w:cs="黑体"/>
                <w:position w:val="15"/>
                <w:sz w:val="28"/>
                <w:highlight w:val="none"/>
              </w:rPr>
              <w:t>支出总体情况表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060" w:type="dxa"/>
            <w:gridSpan w:val="4"/>
            <w:tcBorders>
              <w:top w:val="nil"/>
              <w:left w:val="nil"/>
              <w:right w:val="nil"/>
            </w:tcBorders>
            <w:vAlign w:val="center"/>
          </w:tcPr>
          <w:p>
            <w:pPr>
              <w:ind w:left="150"/>
              <w:jc w:val="left"/>
              <w:rPr>
                <w:highlight w:val="none"/>
              </w:rPr>
            </w:pPr>
            <w:r>
              <w:rPr>
                <w:rFonts w:ascii="仿宋" w:hAnsi="仿宋" w:eastAsia="仿宋" w:cs="仿宋"/>
                <w:position w:val="8"/>
                <w:sz w:val="20"/>
                <w:highlight w:val="none"/>
              </w:rPr>
              <w:t>编制</w:t>
            </w:r>
            <w:r>
              <w:rPr>
                <w:rFonts w:hint="eastAsia" w:ascii="仿宋" w:hAnsi="仿宋" w:eastAsia="仿宋" w:cs="仿宋"/>
                <w:position w:val="8"/>
                <w:sz w:val="20"/>
                <w:highlight w:val="none"/>
                <w:lang w:val="en-US" w:eastAsia="zh-CN"/>
              </w:rPr>
              <w:t>部门</w:t>
            </w:r>
            <w:r>
              <w:rPr>
                <w:rFonts w:ascii="仿宋" w:hAnsi="仿宋" w:eastAsia="仿宋" w:cs="仿宋"/>
                <w:position w:val="8"/>
                <w:sz w:val="20"/>
                <w:highlight w:val="none"/>
              </w:rPr>
              <w:t>：皮山县皮西那乡中心小学</w:t>
            </w:r>
          </w:p>
        </w:tc>
        <w:tc>
          <w:tcPr>
            <w:tcW w:w="3340" w:type="dxa"/>
            <w:gridSpan w:val="3"/>
            <w:tcBorders>
              <w:top w:val="nil"/>
              <w:left w:val="nil"/>
              <w:right w:val="nil"/>
            </w:tcBorders>
            <w:vAlign w:val="center"/>
          </w:tcPr>
          <w:p>
            <w:pPr>
              <w:ind w:left="150"/>
              <w:jc w:val="right"/>
              <w:rPr>
                <w:highlight w:val="none"/>
              </w:rPr>
            </w:pPr>
            <w:r>
              <w:rPr>
                <w:rFonts w:ascii="仿宋" w:hAnsi="仿宋" w:eastAsia="仿宋" w:cs="仿宋"/>
                <w:position w:val="8"/>
                <w:sz w:val="20"/>
                <w:highlight w:val="none"/>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060" w:type="dxa"/>
            <w:gridSpan w:val="4"/>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项目</w:t>
            </w:r>
          </w:p>
        </w:tc>
        <w:tc>
          <w:tcPr>
            <w:tcW w:w="3340"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支出预算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410"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功能分类科目编码</w:t>
            </w:r>
          </w:p>
        </w:tc>
        <w:tc>
          <w:tcPr>
            <w:tcW w:w="265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功能分类科目名称</w:t>
            </w:r>
          </w:p>
        </w:tc>
        <w:tc>
          <w:tcPr>
            <w:tcW w:w="87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合计</w:t>
            </w:r>
          </w:p>
        </w:tc>
        <w:tc>
          <w:tcPr>
            <w:tcW w:w="123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基本支出</w:t>
            </w:r>
          </w:p>
        </w:tc>
        <w:tc>
          <w:tcPr>
            <w:tcW w:w="123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02"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类</w:t>
            </w:r>
          </w:p>
        </w:tc>
        <w:tc>
          <w:tcPr>
            <w:tcW w:w="704"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款</w:t>
            </w:r>
          </w:p>
        </w:tc>
        <w:tc>
          <w:tcPr>
            <w:tcW w:w="704"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项</w:t>
            </w:r>
          </w:p>
        </w:tc>
        <w:tc>
          <w:tcPr>
            <w:tcW w:w="2650" w:type="dxa"/>
            <w:vMerge w:val="continue"/>
          </w:tcPr>
          <w:p>
            <w:pPr>
              <w:rPr>
                <w:highlight w:val="none"/>
              </w:rPr>
            </w:pPr>
          </w:p>
        </w:tc>
        <w:tc>
          <w:tcPr>
            <w:tcW w:w="878" w:type="dxa"/>
            <w:vMerge w:val="continue"/>
          </w:tcPr>
          <w:p>
            <w:pPr>
              <w:rPr>
                <w:highlight w:val="none"/>
              </w:rPr>
            </w:pPr>
          </w:p>
        </w:tc>
        <w:tc>
          <w:tcPr>
            <w:tcW w:w="1231" w:type="dxa"/>
            <w:vMerge w:val="continue"/>
          </w:tcPr>
          <w:p>
            <w:pPr>
              <w:rPr>
                <w:highlight w:val="none"/>
              </w:rPr>
            </w:pPr>
          </w:p>
        </w:tc>
        <w:tc>
          <w:tcPr>
            <w:tcW w:w="1231" w:type="dxa"/>
            <w:vMerge w:val="continue"/>
          </w:tcPr>
          <w:p>
            <w:pPr>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0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205</w:t>
            </w:r>
          </w:p>
        </w:tc>
        <w:tc>
          <w:tcPr>
            <w:tcW w:w="70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70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2650"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教育支出</w:t>
            </w:r>
          </w:p>
        </w:tc>
        <w:tc>
          <w:tcPr>
            <w:tcW w:w="878"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2066.43</w:t>
            </w:r>
          </w:p>
        </w:tc>
        <w:tc>
          <w:tcPr>
            <w:tcW w:w="123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1472.34</w:t>
            </w:r>
          </w:p>
        </w:tc>
        <w:tc>
          <w:tcPr>
            <w:tcW w:w="123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594.09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0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205</w:t>
            </w:r>
          </w:p>
        </w:tc>
        <w:tc>
          <w:tcPr>
            <w:tcW w:w="704"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02</w:t>
            </w:r>
          </w:p>
        </w:tc>
        <w:tc>
          <w:tcPr>
            <w:tcW w:w="70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2650"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普通教育</w:t>
            </w:r>
          </w:p>
        </w:tc>
        <w:tc>
          <w:tcPr>
            <w:tcW w:w="878"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2066.43</w:t>
            </w:r>
          </w:p>
        </w:tc>
        <w:tc>
          <w:tcPr>
            <w:tcW w:w="123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1472.34</w:t>
            </w:r>
          </w:p>
        </w:tc>
        <w:tc>
          <w:tcPr>
            <w:tcW w:w="123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594.09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0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205</w:t>
            </w:r>
          </w:p>
        </w:tc>
        <w:tc>
          <w:tcPr>
            <w:tcW w:w="704"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02</w:t>
            </w:r>
          </w:p>
        </w:tc>
        <w:tc>
          <w:tcPr>
            <w:tcW w:w="704"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02</w:t>
            </w:r>
          </w:p>
        </w:tc>
        <w:tc>
          <w:tcPr>
            <w:tcW w:w="2650"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小学教育</w:t>
            </w:r>
          </w:p>
        </w:tc>
        <w:tc>
          <w:tcPr>
            <w:tcW w:w="878"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2066.43</w:t>
            </w:r>
          </w:p>
        </w:tc>
        <w:tc>
          <w:tcPr>
            <w:tcW w:w="123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1472.34</w:t>
            </w:r>
          </w:p>
        </w:tc>
        <w:tc>
          <w:tcPr>
            <w:tcW w:w="123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594.09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0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70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70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2650"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合计</w:t>
            </w:r>
          </w:p>
        </w:tc>
        <w:tc>
          <w:tcPr>
            <w:tcW w:w="878"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2066.43</w:t>
            </w:r>
          </w:p>
        </w:tc>
        <w:tc>
          <w:tcPr>
            <w:tcW w:w="123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1472.34</w:t>
            </w:r>
          </w:p>
        </w:tc>
        <w:tc>
          <w:tcPr>
            <w:tcW w:w="123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594.09</w:t>
            </w:r>
          </w:p>
        </w:tc>
      </w:tr>
    </w:tbl>
    <w:p>
      <w:pPr>
        <w:rPr>
          <w:highlight w:val="none"/>
        </w:rPr>
        <w:sectPr>
          <w:pgMar w:top="1440" w:right="1803" w:bottom="1440" w:left="1803" w:header="720" w:footer="720" w:gutter="0"/>
          <w:cols w:space="720" w:num="1"/>
          <w:rtlGutter w:val="0"/>
          <w:docGrid w:linePitch="0" w:charSpace="0"/>
        </w:sectPr>
      </w:pPr>
      <w:r>
        <w:rPr>
          <w:highlight w:val="none"/>
        </w:rP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606"/>
        <w:gridCol w:w="836"/>
        <w:gridCol w:w="1984"/>
        <w:gridCol w:w="836"/>
        <w:gridCol w:w="1005"/>
        <w:gridCol w:w="1003"/>
        <w:gridCol w:w="113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rPr>
                <w:highlight w:val="none"/>
              </w:rPr>
            </w:pPr>
            <w:r>
              <w:rPr>
                <w:rFonts w:ascii="仿宋" w:hAnsi="仿宋" w:eastAsia="仿宋" w:cs="仿宋"/>
                <w:position w:val="8"/>
                <w:sz w:val="20"/>
                <w:highlight w:val="none"/>
              </w:rPr>
              <w:t>表4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rPr>
                <w:highlight w:val="none"/>
              </w:rPr>
            </w:pPr>
            <w:r>
              <w:rPr>
                <w:rFonts w:ascii="黑体" w:hAnsi="黑体" w:eastAsia="黑体" w:cs="黑体"/>
                <w:position w:val="15"/>
                <w:sz w:val="28"/>
                <w:highlight w:val="none"/>
              </w:rPr>
              <w:t>财政拨款收支预算总体情况表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62" w:type="dxa"/>
            <w:gridSpan w:val="4"/>
            <w:tcBorders>
              <w:top w:val="nil"/>
              <w:left w:val="nil"/>
              <w:right w:val="nil"/>
            </w:tcBorders>
            <w:vAlign w:val="center"/>
          </w:tcPr>
          <w:p>
            <w:pPr>
              <w:ind w:left="150"/>
              <w:jc w:val="left"/>
              <w:rPr>
                <w:highlight w:val="none"/>
              </w:rPr>
            </w:pPr>
            <w:r>
              <w:rPr>
                <w:rFonts w:ascii="仿宋" w:hAnsi="仿宋" w:eastAsia="仿宋" w:cs="仿宋"/>
                <w:position w:val="8"/>
                <w:sz w:val="20"/>
                <w:highlight w:val="none"/>
              </w:rPr>
              <w:t>编制</w:t>
            </w:r>
            <w:r>
              <w:rPr>
                <w:rFonts w:hint="eastAsia" w:ascii="仿宋" w:hAnsi="仿宋" w:eastAsia="仿宋" w:cs="仿宋"/>
                <w:position w:val="8"/>
                <w:sz w:val="20"/>
                <w:highlight w:val="none"/>
                <w:lang w:val="en-US" w:eastAsia="zh-CN"/>
              </w:rPr>
              <w:t>部门</w:t>
            </w:r>
            <w:r>
              <w:rPr>
                <w:rFonts w:ascii="仿宋" w:hAnsi="仿宋" w:eastAsia="仿宋" w:cs="仿宋"/>
                <w:position w:val="8"/>
                <w:sz w:val="20"/>
                <w:highlight w:val="none"/>
              </w:rPr>
              <w:t>：皮山县皮西那乡中心小学</w:t>
            </w:r>
          </w:p>
        </w:tc>
        <w:tc>
          <w:tcPr>
            <w:tcW w:w="3138" w:type="dxa"/>
            <w:gridSpan w:val="3"/>
            <w:tcBorders>
              <w:top w:val="nil"/>
              <w:left w:val="nil"/>
              <w:right w:val="nil"/>
            </w:tcBorders>
            <w:vAlign w:val="center"/>
          </w:tcPr>
          <w:p>
            <w:pPr>
              <w:ind w:left="150"/>
              <w:jc w:val="right"/>
              <w:rPr>
                <w:highlight w:val="none"/>
              </w:rPr>
            </w:pPr>
            <w:r>
              <w:rPr>
                <w:rFonts w:ascii="仿宋" w:hAnsi="仿宋" w:eastAsia="仿宋" w:cs="仿宋"/>
                <w:position w:val="8"/>
                <w:sz w:val="20"/>
                <w:highlight w:val="none"/>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442"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财政拨款收入</w:t>
            </w:r>
          </w:p>
        </w:tc>
        <w:tc>
          <w:tcPr>
            <w:tcW w:w="5958" w:type="dxa"/>
            <w:gridSpan w:val="5"/>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财政拨款支出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项目</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合计</w:t>
            </w:r>
          </w:p>
        </w:tc>
        <w:tc>
          <w:tcPr>
            <w:tcW w:w="1984"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功能分类</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合计</w:t>
            </w:r>
          </w:p>
        </w:tc>
        <w:tc>
          <w:tcPr>
            <w:tcW w:w="1005"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一般公共预算</w:t>
            </w:r>
          </w:p>
        </w:tc>
        <w:tc>
          <w:tcPr>
            <w:tcW w:w="1003"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政府性基金预算</w:t>
            </w: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一、财政拨款（补助）</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1895.49</w:t>
            </w:r>
          </w:p>
        </w:tc>
        <w:tc>
          <w:tcPr>
            <w:tcW w:w="1984"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201一般公共服务支出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一般公共预算</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1895.49</w:t>
            </w:r>
          </w:p>
        </w:tc>
        <w:tc>
          <w:tcPr>
            <w:tcW w:w="1984"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202外交支出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政府性基金预算</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984"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203国防支出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国有资本经营预算</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984"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204公共安全支出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984"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205教育支出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1895.49</w:t>
            </w:r>
          </w:p>
        </w:tc>
        <w:tc>
          <w:tcPr>
            <w:tcW w:w="1005"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1895.49</w:t>
            </w:r>
          </w:p>
        </w:tc>
        <w:tc>
          <w:tcPr>
            <w:tcW w:w="1003"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984"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206科学技术支出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0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984"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207文化旅游体育与传媒支出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984"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208社会保障和就业支出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984"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209社会保险基金支出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984"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210卫生健康支出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0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984"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211节能环保支出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984"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212城乡社区支出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984"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213农林水支出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984"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214交通运输支出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0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984"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215资源勘探工业信息等支出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984"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216商业服务业等支出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984"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217金融支出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984"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219援助其他地区支出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0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984"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220自然资源海洋气象等支出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984"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221住房保障支出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984"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222粮油物资储备支出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984"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223国有资本经营预算支出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0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984"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224灾害防治及应急管理支出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984"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227预备费</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984"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229其他支出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984"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230转移性支出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0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984"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231债务还本支出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984"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232债务付息支出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984"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233债务发行费用支出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984"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234抗疫特别国债安排的支出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0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98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00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0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收入总计</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1895.49</w:t>
            </w:r>
          </w:p>
        </w:tc>
        <w:tc>
          <w:tcPr>
            <w:tcW w:w="1984"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支出总计</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1895.49</w:t>
            </w:r>
          </w:p>
        </w:tc>
        <w:tc>
          <w:tcPr>
            <w:tcW w:w="1005"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1895.49</w:t>
            </w:r>
          </w:p>
        </w:tc>
        <w:tc>
          <w:tcPr>
            <w:tcW w:w="1003"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1130"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r>
    </w:tbl>
    <w:p>
      <w:pPr>
        <w:rPr>
          <w:highlight w:val="none"/>
        </w:rPr>
        <w:sectPr>
          <w:pgMar w:top="1440" w:right="1803" w:bottom="1440" w:left="1803" w:header="720" w:footer="720" w:gutter="0"/>
          <w:cols w:space="720" w:num="1"/>
          <w:rtlGutter w:val="0"/>
          <w:docGrid w:linePitch="0" w:charSpace="0"/>
        </w:sectPr>
      </w:pPr>
      <w:r>
        <w:rPr>
          <w:highlight w:val="none"/>
        </w:rP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978"/>
        <w:gridCol w:w="687"/>
        <w:gridCol w:w="687"/>
        <w:gridCol w:w="2586"/>
        <w:gridCol w:w="1058"/>
        <w:gridCol w:w="1202"/>
        <w:gridCol w:w="120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rPr>
                <w:highlight w:val="none"/>
              </w:rPr>
            </w:pPr>
            <w:r>
              <w:rPr>
                <w:rFonts w:ascii="仿宋" w:hAnsi="仿宋" w:eastAsia="仿宋" w:cs="仿宋"/>
                <w:position w:val="8"/>
                <w:sz w:val="20"/>
                <w:highlight w:val="none"/>
              </w:rPr>
              <w:t>表5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rPr>
                <w:highlight w:val="none"/>
              </w:rPr>
            </w:pPr>
            <w:r>
              <w:rPr>
                <w:rFonts w:ascii="黑体" w:hAnsi="黑体" w:eastAsia="黑体" w:cs="黑体"/>
                <w:position w:val="15"/>
                <w:sz w:val="28"/>
                <w:highlight w:val="none"/>
              </w:rPr>
              <w:t>一般公共预算支出情况表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938" w:type="dxa"/>
            <w:gridSpan w:val="4"/>
            <w:tcBorders>
              <w:top w:val="nil"/>
              <w:left w:val="nil"/>
              <w:right w:val="nil"/>
            </w:tcBorders>
            <w:vAlign w:val="center"/>
          </w:tcPr>
          <w:p>
            <w:pPr>
              <w:ind w:left="150"/>
              <w:jc w:val="left"/>
              <w:rPr>
                <w:highlight w:val="none"/>
              </w:rPr>
            </w:pPr>
            <w:r>
              <w:rPr>
                <w:rFonts w:ascii="仿宋" w:hAnsi="仿宋" w:eastAsia="仿宋" w:cs="仿宋"/>
                <w:position w:val="8"/>
                <w:sz w:val="20"/>
                <w:highlight w:val="none"/>
              </w:rPr>
              <w:t>编制</w:t>
            </w:r>
            <w:r>
              <w:rPr>
                <w:rFonts w:hint="eastAsia" w:ascii="仿宋" w:hAnsi="仿宋" w:eastAsia="仿宋" w:cs="仿宋"/>
                <w:position w:val="8"/>
                <w:sz w:val="20"/>
                <w:highlight w:val="none"/>
                <w:lang w:val="en-US" w:eastAsia="zh-CN"/>
              </w:rPr>
              <w:t>部门</w:t>
            </w:r>
            <w:r>
              <w:rPr>
                <w:rFonts w:ascii="仿宋" w:hAnsi="仿宋" w:eastAsia="仿宋" w:cs="仿宋"/>
                <w:position w:val="8"/>
                <w:sz w:val="20"/>
                <w:highlight w:val="none"/>
              </w:rPr>
              <w:t>：皮山县皮西那乡中心小学</w:t>
            </w:r>
          </w:p>
        </w:tc>
        <w:tc>
          <w:tcPr>
            <w:tcW w:w="3462" w:type="dxa"/>
            <w:gridSpan w:val="3"/>
            <w:tcBorders>
              <w:top w:val="nil"/>
              <w:left w:val="nil"/>
              <w:right w:val="nil"/>
            </w:tcBorders>
            <w:vAlign w:val="center"/>
          </w:tcPr>
          <w:p>
            <w:pPr>
              <w:ind w:left="150"/>
              <w:jc w:val="right"/>
              <w:rPr>
                <w:highlight w:val="none"/>
              </w:rPr>
            </w:pPr>
            <w:r>
              <w:rPr>
                <w:rFonts w:ascii="仿宋" w:hAnsi="仿宋" w:eastAsia="仿宋" w:cs="仿宋"/>
                <w:position w:val="8"/>
                <w:sz w:val="20"/>
                <w:highlight w:val="none"/>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938" w:type="dxa"/>
            <w:gridSpan w:val="4"/>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项目</w:t>
            </w:r>
          </w:p>
        </w:tc>
        <w:tc>
          <w:tcPr>
            <w:tcW w:w="3462"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一般公共预算支出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52"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功能分类科目编码</w:t>
            </w:r>
          </w:p>
        </w:tc>
        <w:tc>
          <w:tcPr>
            <w:tcW w:w="258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功能分类科目名称</w:t>
            </w:r>
          </w:p>
        </w:tc>
        <w:tc>
          <w:tcPr>
            <w:tcW w:w="10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合计</w:t>
            </w:r>
          </w:p>
        </w:tc>
        <w:tc>
          <w:tcPr>
            <w:tcW w:w="120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基本支出</w:t>
            </w:r>
          </w:p>
        </w:tc>
        <w:tc>
          <w:tcPr>
            <w:tcW w:w="120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978"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类</w:t>
            </w:r>
          </w:p>
        </w:tc>
        <w:tc>
          <w:tcPr>
            <w:tcW w:w="687"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款</w:t>
            </w:r>
          </w:p>
        </w:tc>
        <w:tc>
          <w:tcPr>
            <w:tcW w:w="687"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项</w:t>
            </w:r>
          </w:p>
        </w:tc>
        <w:tc>
          <w:tcPr>
            <w:tcW w:w="2586" w:type="dxa"/>
            <w:vMerge w:val="continue"/>
          </w:tcPr>
          <w:p>
            <w:pPr>
              <w:rPr>
                <w:highlight w:val="none"/>
              </w:rPr>
            </w:pPr>
          </w:p>
        </w:tc>
        <w:tc>
          <w:tcPr>
            <w:tcW w:w="1058" w:type="dxa"/>
            <w:vMerge w:val="continue"/>
          </w:tcPr>
          <w:p>
            <w:pPr>
              <w:rPr>
                <w:highlight w:val="none"/>
              </w:rPr>
            </w:pPr>
          </w:p>
        </w:tc>
        <w:tc>
          <w:tcPr>
            <w:tcW w:w="1202" w:type="dxa"/>
            <w:vMerge w:val="continue"/>
          </w:tcPr>
          <w:p>
            <w:pPr>
              <w:rPr>
                <w:highlight w:val="none"/>
              </w:rPr>
            </w:pPr>
          </w:p>
        </w:tc>
        <w:tc>
          <w:tcPr>
            <w:tcW w:w="1202" w:type="dxa"/>
            <w:vMerge w:val="continue"/>
          </w:tcPr>
          <w:p>
            <w:pPr>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978"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205</w:t>
            </w:r>
          </w:p>
        </w:tc>
        <w:tc>
          <w:tcPr>
            <w:tcW w:w="68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68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258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教育支出</w:t>
            </w:r>
          </w:p>
        </w:tc>
        <w:tc>
          <w:tcPr>
            <w:tcW w:w="1058"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1895.49</w:t>
            </w:r>
          </w:p>
        </w:tc>
        <w:tc>
          <w:tcPr>
            <w:tcW w:w="1202"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1472.34</w:t>
            </w:r>
          </w:p>
        </w:tc>
        <w:tc>
          <w:tcPr>
            <w:tcW w:w="1202"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423.15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978"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205</w:t>
            </w:r>
          </w:p>
        </w:tc>
        <w:tc>
          <w:tcPr>
            <w:tcW w:w="687"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02</w:t>
            </w:r>
          </w:p>
        </w:tc>
        <w:tc>
          <w:tcPr>
            <w:tcW w:w="68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258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普通教育</w:t>
            </w:r>
          </w:p>
        </w:tc>
        <w:tc>
          <w:tcPr>
            <w:tcW w:w="1058"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1895.49</w:t>
            </w:r>
          </w:p>
        </w:tc>
        <w:tc>
          <w:tcPr>
            <w:tcW w:w="1202"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1472.34</w:t>
            </w:r>
          </w:p>
        </w:tc>
        <w:tc>
          <w:tcPr>
            <w:tcW w:w="1202"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423.15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978"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205</w:t>
            </w:r>
          </w:p>
        </w:tc>
        <w:tc>
          <w:tcPr>
            <w:tcW w:w="687"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02</w:t>
            </w:r>
          </w:p>
        </w:tc>
        <w:tc>
          <w:tcPr>
            <w:tcW w:w="687"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02</w:t>
            </w:r>
          </w:p>
        </w:tc>
        <w:tc>
          <w:tcPr>
            <w:tcW w:w="258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小学教育</w:t>
            </w:r>
          </w:p>
        </w:tc>
        <w:tc>
          <w:tcPr>
            <w:tcW w:w="1058"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1895.49</w:t>
            </w:r>
          </w:p>
        </w:tc>
        <w:tc>
          <w:tcPr>
            <w:tcW w:w="1202"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1472.34</w:t>
            </w:r>
          </w:p>
        </w:tc>
        <w:tc>
          <w:tcPr>
            <w:tcW w:w="1202"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423.15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978"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68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68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258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合计</w:t>
            </w:r>
          </w:p>
        </w:tc>
        <w:tc>
          <w:tcPr>
            <w:tcW w:w="1058"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1895.49</w:t>
            </w:r>
          </w:p>
        </w:tc>
        <w:tc>
          <w:tcPr>
            <w:tcW w:w="1202"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1472.34</w:t>
            </w:r>
          </w:p>
        </w:tc>
        <w:tc>
          <w:tcPr>
            <w:tcW w:w="1202"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423.15</w:t>
            </w:r>
          </w:p>
        </w:tc>
      </w:tr>
    </w:tbl>
    <w:p>
      <w:pPr>
        <w:rPr>
          <w:highlight w:val="none"/>
        </w:rPr>
        <w:sectPr>
          <w:pgMar w:top="1440" w:right="1803" w:bottom="1440" w:left="1803" w:header="720" w:footer="720" w:gutter="0"/>
          <w:cols w:space="720" w:num="1"/>
          <w:rtlGutter w:val="0"/>
          <w:docGrid w:linePitch="0" w:charSpace="0"/>
        </w:sectPr>
      </w:pPr>
      <w:r>
        <w:rPr>
          <w:highlight w:val="none"/>
        </w:rP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157"/>
        <w:gridCol w:w="812"/>
        <w:gridCol w:w="3413"/>
        <w:gridCol w:w="1006"/>
        <w:gridCol w:w="1006"/>
        <w:gridCol w:w="100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top w:val="nil"/>
              <w:left w:val="nil"/>
              <w:bottom w:val="nil"/>
              <w:right w:val="nil"/>
            </w:tcBorders>
            <w:vAlign w:val="center"/>
          </w:tcPr>
          <w:p>
            <w:pPr>
              <w:ind w:left="150"/>
              <w:jc w:val="left"/>
              <w:rPr>
                <w:highlight w:val="none"/>
              </w:rPr>
            </w:pPr>
            <w:r>
              <w:rPr>
                <w:rFonts w:ascii="仿宋" w:hAnsi="仿宋" w:eastAsia="仿宋" w:cs="仿宋"/>
                <w:position w:val="8"/>
                <w:sz w:val="20"/>
                <w:highlight w:val="none"/>
              </w:rPr>
              <w:t>表6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top w:val="nil"/>
              <w:left w:val="nil"/>
              <w:bottom w:val="nil"/>
              <w:right w:val="nil"/>
            </w:tcBorders>
            <w:vAlign w:val="center"/>
          </w:tcPr>
          <w:p>
            <w:pPr>
              <w:ind w:left="150"/>
              <w:jc w:val="center"/>
              <w:rPr>
                <w:highlight w:val="none"/>
              </w:rPr>
            </w:pPr>
            <w:r>
              <w:rPr>
                <w:rFonts w:ascii="黑体" w:hAnsi="黑体" w:eastAsia="黑体" w:cs="黑体"/>
                <w:position w:val="15"/>
                <w:sz w:val="28"/>
                <w:highlight w:val="none"/>
              </w:rPr>
              <w:t>一般公共预算基本支出情况表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382" w:type="dxa"/>
            <w:gridSpan w:val="3"/>
            <w:tcBorders>
              <w:top w:val="nil"/>
              <w:left w:val="nil"/>
              <w:right w:val="nil"/>
            </w:tcBorders>
            <w:vAlign w:val="center"/>
          </w:tcPr>
          <w:p>
            <w:pPr>
              <w:ind w:left="150"/>
              <w:jc w:val="left"/>
              <w:rPr>
                <w:highlight w:val="none"/>
              </w:rPr>
            </w:pPr>
            <w:r>
              <w:rPr>
                <w:rFonts w:ascii="仿宋" w:hAnsi="仿宋" w:eastAsia="仿宋" w:cs="仿宋"/>
                <w:position w:val="8"/>
                <w:sz w:val="20"/>
                <w:highlight w:val="none"/>
              </w:rPr>
              <w:t>编制</w:t>
            </w:r>
            <w:r>
              <w:rPr>
                <w:rFonts w:hint="eastAsia" w:ascii="仿宋" w:hAnsi="仿宋" w:eastAsia="仿宋" w:cs="仿宋"/>
                <w:position w:val="8"/>
                <w:sz w:val="20"/>
                <w:highlight w:val="none"/>
                <w:lang w:val="en-US" w:eastAsia="zh-CN"/>
              </w:rPr>
              <w:t>部门</w:t>
            </w:r>
            <w:r>
              <w:rPr>
                <w:rFonts w:ascii="仿宋" w:hAnsi="仿宋" w:eastAsia="仿宋" w:cs="仿宋"/>
                <w:position w:val="8"/>
                <w:sz w:val="20"/>
                <w:highlight w:val="none"/>
              </w:rPr>
              <w:t>：皮山县皮西那乡中心小学</w:t>
            </w:r>
          </w:p>
        </w:tc>
        <w:tc>
          <w:tcPr>
            <w:tcW w:w="3018" w:type="dxa"/>
            <w:gridSpan w:val="3"/>
            <w:tcBorders>
              <w:top w:val="nil"/>
              <w:left w:val="nil"/>
              <w:right w:val="nil"/>
            </w:tcBorders>
            <w:vAlign w:val="center"/>
          </w:tcPr>
          <w:p>
            <w:pPr>
              <w:ind w:left="150"/>
              <w:jc w:val="right"/>
              <w:rPr>
                <w:highlight w:val="none"/>
              </w:rPr>
            </w:pPr>
            <w:r>
              <w:rPr>
                <w:rFonts w:ascii="仿宋" w:hAnsi="仿宋" w:eastAsia="仿宋" w:cs="仿宋"/>
                <w:position w:val="8"/>
                <w:sz w:val="20"/>
                <w:highlight w:val="none"/>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382"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项目</w:t>
            </w:r>
          </w:p>
        </w:tc>
        <w:tc>
          <w:tcPr>
            <w:tcW w:w="3018"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一般公共预算基本支出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969"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经济分类科目编码</w:t>
            </w:r>
          </w:p>
        </w:tc>
        <w:tc>
          <w:tcPr>
            <w:tcW w:w="341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经济分类科目名称</w:t>
            </w:r>
          </w:p>
        </w:tc>
        <w:tc>
          <w:tcPr>
            <w:tcW w:w="100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合计</w:t>
            </w:r>
          </w:p>
        </w:tc>
        <w:tc>
          <w:tcPr>
            <w:tcW w:w="100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人员经费</w:t>
            </w:r>
          </w:p>
        </w:tc>
        <w:tc>
          <w:tcPr>
            <w:tcW w:w="100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公用经费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类</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款</w:t>
            </w:r>
          </w:p>
        </w:tc>
        <w:tc>
          <w:tcPr>
            <w:tcW w:w="3413" w:type="dxa"/>
            <w:vMerge w:val="continue"/>
          </w:tcPr>
          <w:p>
            <w:pPr>
              <w:rPr>
                <w:highlight w:val="none"/>
              </w:rPr>
            </w:pPr>
          </w:p>
        </w:tc>
        <w:tc>
          <w:tcPr>
            <w:tcW w:w="1006" w:type="dxa"/>
            <w:vMerge w:val="continue"/>
          </w:tcPr>
          <w:p>
            <w:pPr>
              <w:rPr>
                <w:highlight w:val="none"/>
              </w:rPr>
            </w:pPr>
          </w:p>
        </w:tc>
        <w:tc>
          <w:tcPr>
            <w:tcW w:w="1006" w:type="dxa"/>
            <w:vMerge w:val="continue"/>
          </w:tcPr>
          <w:p>
            <w:pPr>
              <w:rPr>
                <w:highlight w:val="none"/>
              </w:rPr>
            </w:pPr>
          </w:p>
        </w:tc>
        <w:tc>
          <w:tcPr>
            <w:tcW w:w="1006" w:type="dxa"/>
            <w:vMerge w:val="continue"/>
          </w:tcPr>
          <w:p>
            <w:pPr>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工资福利支出</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1440.11</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1440.11</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01</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基本工资</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343.7</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343.7</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02</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津贴补贴</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342.82</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342.82</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03</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奖金</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111.66</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111.66</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07</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绩效工资</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239.88</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239.88</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08</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机关事业单位基本养老保险缴费</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148.78</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148.78</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09</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职业年金缴费</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74.39</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74.39</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10</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城镇职工基本医疗保险缴费</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60.44</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60.44</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12</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其他社会保障缴费</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6.86</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6.86</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13</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住房公积金</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111.58</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111.58</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303</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对个人和家庭的补助支出</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32.23</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32.23</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303</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02</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退休费</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27.05</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27.05</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303</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05</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生活补助</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5.18</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5.18</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合计</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1472.34</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1472.34</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r>
    </w:tbl>
    <w:p>
      <w:pPr>
        <w:rPr>
          <w:highlight w:val="none"/>
        </w:rPr>
        <w:sectPr>
          <w:pgMar w:top="1440" w:right="1803" w:bottom="1440" w:left="1803" w:header="720" w:footer="720" w:gutter="0"/>
          <w:cols w:space="720" w:num="1"/>
          <w:rtlGutter w:val="0"/>
          <w:docGrid w:linePitch="0" w:charSpace="0"/>
        </w:sectPr>
      </w:pPr>
      <w:r>
        <w:rPr>
          <w:highlight w:val="none"/>
        </w:rP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36"/>
        <w:gridCol w:w="237"/>
        <w:gridCol w:w="237"/>
        <w:gridCol w:w="311"/>
        <w:gridCol w:w="1648"/>
        <w:gridCol w:w="606"/>
        <w:gridCol w:w="536"/>
        <w:gridCol w:w="631"/>
        <w:gridCol w:w="681"/>
        <w:gridCol w:w="436"/>
        <w:gridCol w:w="661"/>
        <w:gridCol w:w="336"/>
        <w:gridCol w:w="661"/>
        <w:gridCol w:w="336"/>
        <w:gridCol w:w="436"/>
        <w:gridCol w:w="31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left"/>
              <w:rPr>
                <w:highlight w:val="none"/>
              </w:rPr>
            </w:pPr>
            <w:r>
              <w:rPr>
                <w:rFonts w:ascii="仿宋" w:hAnsi="仿宋" w:eastAsia="仿宋" w:cs="仿宋"/>
                <w:position w:val="8"/>
                <w:sz w:val="20"/>
                <w:highlight w:val="none"/>
              </w:rPr>
              <w:t>表7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center"/>
              <w:rPr>
                <w:highlight w:val="none"/>
              </w:rPr>
            </w:pPr>
            <w:r>
              <w:rPr>
                <w:rFonts w:ascii="黑体" w:hAnsi="黑体" w:eastAsia="黑体" w:cs="黑体"/>
                <w:position w:val="15"/>
                <w:sz w:val="28"/>
                <w:highlight w:val="none"/>
              </w:rPr>
              <w:t>一般公共预算项目支出情况表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317" w:type="dxa"/>
            <w:gridSpan w:val="13"/>
            <w:tcBorders>
              <w:top w:val="nil"/>
              <w:left w:val="nil"/>
              <w:right w:val="nil"/>
            </w:tcBorders>
            <w:vAlign w:val="center"/>
          </w:tcPr>
          <w:p>
            <w:pPr>
              <w:ind w:left="150"/>
              <w:jc w:val="left"/>
              <w:rPr>
                <w:highlight w:val="none"/>
              </w:rPr>
            </w:pPr>
            <w:r>
              <w:rPr>
                <w:rFonts w:ascii="仿宋" w:hAnsi="仿宋" w:eastAsia="仿宋" w:cs="仿宋"/>
                <w:position w:val="8"/>
                <w:sz w:val="20"/>
                <w:highlight w:val="none"/>
              </w:rPr>
              <w:t>编制</w:t>
            </w:r>
            <w:r>
              <w:rPr>
                <w:rFonts w:hint="eastAsia" w:ascii="仿宋" w:hAnsi="仿宋" w:eastAsia="仿宋" w:cs="仿宋"/>
                <w:position w:val="8"/>
                <w:sz w:val="20"/>
                <w:highlight w:val="none"/>
                <w:lang w:val="en-US" w:eastAsia="zh-CN"/>
              </w:rPr>
              <w:t>部门</w:t>
            </w:r>
            <w:r>
              <w:rPr>
                <w:rFonts w:ascii="仿宋" w:hAnsi="仿宋" w:eastAsia="仿宋" w:cs="仿宋"/>
                <w:position w:val="8"/>
                <w:sz w:val="20"/>
                <w:highlight w:val="none"/>
              </w:rPr>
              <w:t>：皮山县皮西那乡中心小学</w:t>
            </w:r>
          </w:p>
        </w:tc>
        <w:tc>
          <w:tcPr>
            <w:tcW w:w="1083" w:type="dxa"/>
            <w:gridSpan w:val="3"/>
            <w:tcBorders>
              <w:top w:val="nil"/>
              <w:left w:val="nil"/>
              <w:right w:val="nil"/>
            </w:tcBorders>
            <w:vAlign w:val="center"/>
          </w:tcPr>
          <w:p>
            <w:pPr>
              <w:ind w:left="150"/>
              <w:jc w:val="right"/>
              <w:rPr>
                <w:highlight w:val="none"/>
              </w:rPr>
            </w:pPr>
            <w:r>
              <w:rPr>
                <w:rFonts w:ascii="仿宋" w:hAnsi="仿宋" w:eastAsia="仿宋" w:cs="仿宋"/>
                <w:position w:val="8"/>
                <w:sz w:val="20"/>
                <w:highlight w:val="none"/>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0"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科目编码</w:t>
            </w:r>
          </w:p>
        </w:tc>
        <w:tc>
          <w:tcPr>
            <w:tcW w:w="31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科目名称</w:t>
            </w:r>
          </w:p>
        </w:tc>
        <w:tc>
          <w:tcPr>
            <w:tcW w:w="164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项目名称</w:t>
            </w:r>
          </w:p>
        </w:tc>
        <w:tc>
          <w:tcPr>
            <w:tcW w:w="60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项目支出合计</w:t>
            </w:r>
          </w:p>
        </w:tc>
        <w:tc>
          <w:tcPr>
            <w:tcW w:w="53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工资福利支出</w:t>
            </w:r>
          </w:p>
        </w:tc>
        <w:tc>
          <w:tcPr>
            <w:tcW w:w="63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商品和服务支出</w:t>
            </w:r>
          </w:p>
        </w:tc>
        <w:tc>
          <w:tcPr>
            <w:tcW w:w="68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对个人和家庭的补助</w:t>
            </w:r>
          </w:p>
        </w:tc>
        <w:tc>
          <w:tcPr>
            <w:tcW w:w="43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债务利息及费用支出</w:t>
            </w:r>
          </w:p>
        </w:tc>
        <w:tc>
          <w:tcPr>
            <w:tcW w:w="66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资本性支出（基本建设）</w:t>
            </w:r>
          </w:p>
        </w:tc>
        <w:tc>
          <w:tcPr>
            <w:tcW w:w="33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资本性支出</w:t>
            </w:r>
          </w:p>
        </w:tc>
        <w:tc>
          <w:tcPr>
            <w:tcW w:w="66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对企业补助（基本建设）</w:t>
            </w:r>
          </w:p>
        </w:tc>
        <w:tc>
          <w:tcPr>
            <w:tcW w:w="33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对企业补助</w:t>
            </w:r>
          </w:p>
        </w:tc>
        <w:tc>
          <w:tcPr>
            <w:tcW w:w="43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对社会保障基金补助</w:t>
            </w:r>
          </w:p>
        </w:tc>
        <w:tc>
          <w:tcPr>
            <w:tcW w:w="31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其他支出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类</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款</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项</w:t>
            </w:r>
          </w:p>
        </w:tc>
        <w:tc>
          <w:tcPr>
            <w:tcW w:w="311" w:type="dxa"/>
            <w:vMerge w:val="continue"/>
          </w:tcPr>
          <w:p>
            <w:pPr>
              <w:rPr>
                <w:highlight w:val="none"/>
              </w:rPr>
            </w:pPr>
          </w:p>
        </w:tc>
        <w:tc>
          <w:tcPr>
            <w:tcW w:w="1648" w:type="dxa"/>
            <w:vMerge w:val="continue"/>
          </w:tcPr>
          <w:p>
            <w:pPr>
              <w:rPr>
                <w:highlight w:val="none"/>
              </w:rPr>
            </w:pPr>
          </w:p>
        </w:tc>
        <w:tc>
          <w:tcPr>
            <w:tcW w:w="606" w:type="dxa"/>
            <w:vMerge w:val="continue"/>
          </w:tcPr>
          <w:p>
            <w:pPr>
              <w:rPr>
                <w:highlight w:val="none"/>
              </w:rPr>
            </w:pPr>
          </w:p>
        </w:tc>
        <w:tc>
          <w:tcPr>
            <w:tcW w:w="536" w:type="dxa"/>
            <w:vMerge w:val="continue"/>
          </w:tcPr>
          <w:p>
            <w:pPr>
              <w:rPr>
                <w:highlight w:val="none"/>
              </w:rPr>
            </w:pPr>
          </w:p>
        </w:tc>
        <w:tc>
          <w:tcPr>
            <w:tcW w:w="631" w:type="dxa"/>
            <w:vMerge w:val="continue"/>
          </w:tcPr>
          <w:p>
            <w:pPr>
              <w:rPr>
                <w:highlight w:val="none"/>
              </w:rPr>
            </w:pPr>
          </w:p>
        </w:tc>
        <w:tc>
          <w:tcPr>
            <w:tcW w:w="681" w:type="dxa"/>
            <w:vMerge w:val="continue"/>
          </w:tcPr>
          <w:p>
            <w:pPr>
              <w:rPr>
                <w:highlight w:val="none"/>
              </w:rPr>
            </w:pPr>
          </w:p>
        </w:tc>
        <w:tc>
          <w:tcPr>
            <w:tcW w:w="436" w:type="dxa"/>
            <w:vMerge w:val="continue"/>
          </w:tcPr>
          <w:p>
            <w:pPr>
              <w:rPr>
                <w:highlight w:val="none"/>
              </w:rPr>
            </w:pPr>
          </w:p>
        </w:tc>
        <w:tc>
          <w:tcPr>
            <w:tcW w:w="661" w:type="dxa"/>
            <w:vMerge w:val="continue"/>
          </w:tcPr>
          <w:p>
            <w:pPr>
              <w:rPr>
                <w:highlight w:val="none"/>
              </w:rPr>
            </w:pPr>
          </w:p>
        </w:tc>
        <w:tc>
          <w:tcPr>
            <w:tcW w:w="336" w:type="dxa"/>
            <w:vMerge w:val="continue"/>
          </w:tcPr>
          <w:p>
            <w:pPr>
              <w:rPr>
                <w:highlight w:val="none"/>
              </w:rPr>
            </w:pPr>
          </w:p>
        </w:tc>
        <w:tc>
          <w:tcPr>
            <w:tcW w:w="661" w:type="dxa"/>
            <w:vMerge w:val="continue"/>
          </w:tcPr>
          <w:p>
            <w:pPr>
              <w:rPr>
                <w:highlight w:val="none"/>
              </w:rPr>
            </w:pPr>
          </w:p>
        </w:tc>
        <w:tc>
          <w:tcPr>
            <w:tcW w:w="336" w:type="dxa"/>
            <w:vMerge w:val="continue"/>
          </w:tcPr>
          <w:p>
            <w:pPr>
              <w:rPr>
                <w:highlight w:val="none"/>
              </w:rPr>
            </w:pPr>
          </w:p>
        </w:tc>
        <w:tc>
          <w:tcPr>
            <w:tcW w:w="436" w:type="dxa"/>
            <w:vMerge w:val="continue"/>
          </w:tcPr>
          <w:p>
            <w:pPr>
              <w:rPr>
                <w:highlight w:val="none"/>
              </w:rPr>
            </w:pPr>
          </w:p>
        </w:tc>
        <w:tc>
          <w:tcPr>
            <w:tcW w:w="311" w:type="dxa"/>
            <w:vMerge w:val="continue"/>
          </w:tcPr>
          <w:p>
            <w:pPr>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教育支出</w:t>
            </w:r>
          </w:p>
        </w:tc>
        <w:tc>
          <w:tcPr>
            <w:tcW w:w="1648"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6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423.15</w:t>
            </w:r>
          </w:p>
        </w:tc>
        <w:tc>
          <w:tcPr>
            <w:tcW w:w="5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69.57</w:t>
            </w:r>
          </w:p>
        </w:tc>
        <w:tc>
          <w:tcPr>
            <w:tcW w:w="63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132.21</w:t>
            </w:r>
          </w:p>
        </w:tc>
        <w:tc>
          <w:tcPr>
            <w:tcW w:w="68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221.37</w:t>
            </w: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3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3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普通教育</w:t>
            </w:r>
          </w:p>
        </w:tc>
        <w:tc>
          <w:tcPr>
            <w:tcW w:w="1648"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6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423.15</w:t>
            </w:r>
          </w:p>
        </w:tc>
        <w:tc>
          <w:tcPr>
            <w:tcW w:w="5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69.57</w:t>
            </w:r>
          </w:p>
        </w:tc>
        <w:tc>
          <w:tcPr>
            <w:tcW w:w="63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132.21</w:t>
            </w:r>
          </w:p>
        </w:tc>
        <w:tc>
          <w:tcPr>
            <w:tcW w:w="68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221.37</w:t>
            </w: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3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3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02</w:t>
            </w: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小学教育</w:t>
            </w:r>
          </w:p>
        </w:tc>
        <w:tc>
          <w:tcPr>
            <w:tcW w:w="1648"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2023年城乡义务教育补助经费-家庭经济困难学生综合奖补和地财教</w:t>
            </w:r>
            <w:r>
              <w:rPr>
                <w:rFonts w:hint="eastAsia" w:ascii="仿宋" w:hAnsi="仿宋" w:eastAsia="仿宋" w:cs="仿宋"/>
                <w:position w:val="8"/>
                <w:sz w:val="20"/>
                <w:highlight w:val="none"/>
                <w:lang w:eastAsia="zh-CN"/>
              </w:rPr>
              <w:t>〔2022〕70号</w:t>
            </w:r>
          </w:p>
        </w:tc>
        <w:tc>
          <w:tcPr>
            <w:tcW w:w="6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9.8</w:t>
            </w:r>
          </w:p>
        </w:tc>
        <w:tc>
          <w:tcPr>
            <w:tcW w:w="5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63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68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9.8</w:t>
            </w: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3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3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02</w:t>
            </w: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小学教育</w:t>
            </w:r>
          </w:p>
        </w:tc>
        <w:tc>
          <w:tcPr>
            <w:tcW w:w="1648"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2023年城乡义务教育补助经费-特殊教育补助和地财教</w:t>
            </w:r>
            <w:r>
              <w:rPr>
                <w:rFonts w:hint="eastAsia" w:ascii="仿宋" w:hAnsi="仿宋" w:eastAsia="仿宋" w:cs="仿宋"/>
                <w:position w:val="8"/>
                <w:sz w:val="20"/>
                <w:highlight w:val="none"/>
                <w:lang w:eastAsia="zh-CN"/>
              </w:rPr>
              <w:t>〔2022〕75号</w:t>
            </w:r>
          </w:p>
        </w:tc>
        <w:tc>
          <w:tcPr>
            <w:tcW w:w="6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0.73</w:t>
            </w:r>
          </w:p>
        </w:tc>
        <w:tc>
          <w:tcPr>
            <w:tcW w:w="5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63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0.73</w:t>
            </w:r>
          </w:p>
        </w:tc>
        <w:tc>
          <w:tcPr>
            <w:tcW w:w="68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3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3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02</w:t>
            </w: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小学教育</w:t>
            </w:r>
          </w:p>
        </w:tc>
        <w:tc>
          <w:tcPr>
            <w:tcW w:w="1648"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2023年城乡义务教育补助经费-特殊教育补助和地财教</w:t>
            </w:r>
            <w:r>
              <w:rPr>
                <w:rFonts w:hint="eastAsia" w:ascii="仿宋" w:hAnsi="仿宋" w:eastAsia="仿宋" w:cs="仿宋"/>
                <w:position w:val="8"/>
                <w:sz w:val="20"/>
                <w:highlight w:val="none"/>
                <w:lang w:eastAsia="zh-CN"/>
              </w:rPr>
              <w:t>〔2022〕70号</w:t>
            </w:r>
          </w:p>
        </w:tc>
        <w:tc>
          <w:tcPr>
            <w:tcW w:w="6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3.36</w:t>
            </w:r>
          </w:p>
        </w:tc>
        <w:tc>
          <w:tcPr>
            <w:tcW w:w="5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63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3.36</w:t>
            </w:r>
          </w:p>
        </w:tc>
        <w:tc>
          <w:tcPr>
            <w:tcW w:w="68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3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3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02</w:t>
            </w: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小学教育</w:t>
            </w:r>
          </w:p>
        </w:tc>
        <w:tc>
          <w:tcPr>
            <w:tcW w:w="1648"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2023年城乡义务教育补助经费-农村学生营养改善补助和地财教</w:t>
            </w:r>
            <w:r>
              <w:rPr>
                <w:rFonts w:hint="eastAsia" w:ascii="仿宋" w:hAnsi="仿宋" w:eastAsia="仿宋" w:cs="仿宋"/>
                <w:position w:val="8"/>
                <w:sz w:val="20"/>
                <w:highlight w:val="none"/>
                <w:lang w:eastAsia="zh-CN"/>
              </w:rPr>
              <w:t>〔2022〕70号</w:t>
            </w:r>
          </w:p>
        </w:tc>
        <w:tc>
          <w:tcPr>
            <w:tcW w:w="6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139.61</w:t>
            </w:r>
          </w:p>
        </w:tc>
        <w:tc>
          <w:tcPr>
            <w:tcW w:w="5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63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68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139.61</w:t>
            </w: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3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3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02</w:t>
            </w: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小学教育</w:t>
            </w:r>
          </w:p>
        </w:tc>
        <w:tc>
          <w:tcPr>
            <w:tcW w:w="1648"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2023年城乡义务教育补助经费-公用经费和地财教</w:t>
            </w:r>
            <w:r>
              <w:rPr>
                <w:rFonts w:hint="eastAsia" w:ascii="仿宋" w:hAnsi="仿宋" w:eastAsia="仿宋" w:cs="仿宋"/>
                <w:position w:val="8"/>
                <w:sz w:val="20"/>
                <w:highlight w:val="none"/>
                <w:lang w:eastAsia="zh-CN"/>
              </w:rPr>
              <w:t>〔2022〕75号</w:t>
            </w:r>
          </w:p>
        </w:tc>
        <w:tc>
          <w:tcPr>
            <w:tcW w:w="6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22.39</w:t>
            </w:r>
          </w:p>
        </w:tc>
        <w:tc>
          <w:tcPr>
            <w:tcW w:w="5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63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22.39</w:t>
            </w:r>
          </w:p>
        </w:tc>
        <w:tc>
          <w:tcPr>
            <w:tcW w:w="68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3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3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02</w:t>
            </w: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小学教育</w:t>
            </w:r>
          </w:p>
        </w:tc>
        <w:tc>
          <w:tcPr>
            <w:tcW w:w="1648"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2023年城乡义务教育补助经费-家庭经济困难学生生活补助和地财教</w:t>
            </w:r>
            <w:r>
              <w:rPr>
                <w:rFonts w:hint="eastAsia" w:ascii="仿宋" w:hAnsi="仿宋" w:eastAsia="仿宋" w:cs="仿宋"/>
                <w:position w:val="8"/>
                <w:sz w:val="20"/>
                <w:highlight w:val="none"/>
                <w:lang w:eastAsia="zh-CN"/>
              </w:rPr>
              <w:t>〔2022〕70号</w:t>
            </w:r>
          </w:p>
        </w:tc>
        <w:tc>
          <w:tcPr>
            <w:tcW w:w="6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31.96</w:t>
            </w:r>
          </w:p>
        </w:tc>
        <w:tc>
          <w:tcPr>
            <w:tcW w:w="5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63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68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31.96</w:t>
            </w: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3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3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02</w:t>
            </w: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小学教育</w:t>
            </w:r>
          </w:p>
        </w:tc>
        <w:tc>
          <w:tcPr>
            <w:tcW w:w="1648"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2023年城乡义务教育补助经费-家庭经济困难学生生活补助和地财教</w:t>
            </w:r>
            <w:r>
              <w:rPr>
                <w:rFonts w:hint="eastAsia" w:ascii="仿宋" w:hAnsi="仿宋" w:eastAsia="仿宋" w:cs="仿宋"/>
                <w:position w:val="8"/>
                <w:sz w:val="20"/>
                <w:highlight w:val="none"/>
                <w:lang w:eastAsia="zh-CN"/>
              </w:rPr>
              <w:t>〔2022〕75号</w:t>
            </w:r>
          </w:p>
        </w:tc>
        <w:tc>
          <w:tcPr>
            <w:tcW w:w="6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40.00</w:t>
            </w:r>
          </w:p>
        </w:tc>
        <w:tc>
          <w:tcPr>
            <w:tcW w:w="5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63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68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40.00</w:t>
            </w: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3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3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02</w:t>
            </w: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小学教育</w:t>
            </w:r>
          </w:p>
        </w:tc>
        <w:tc>
          <w:tcPr>
            <w:tcW w:w="1648"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2023年城乡义务教育补助经费-特岗教师工资性补助和地财教</w:t>
            </w:r>
            <w:r>
              <w:rPr>
                <w:rFonts w:hint="eastAsia" w:ascii="仿宋" w:hAnsi="仿宋" w:eastAsia="仿宋" w:cs="仿宋"/>
                <w:position w:val="8"/>
                <w:sz w:val="20"/>
                <w:highlight w:val="none"/>
                <w:lang w:eastAsia="zh-CN"/>
              </w:rPr>
              <w:t>〔2022〕70号</w:t>
            </w:r>
          </w:p>
        </w:tc>
        <w:tc>
          <w:tcPr>
            <w:tcW w:w="6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69.57</w:t>
            </w:r>
          </w:p>
        </w:tc>
        <w:tc>
          <w:tcPr>
            <w:tcW w:w="5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69.57</w:t>
            </w:r>
          </w:p>
        </w:tc>
        <w:tc>
          <w:tcPr>
            <w:tcW w:w="63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68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3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3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6"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02</w:t>
            </w: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小学教育</w:t>
            </w:r>
          </w:p>
        </w:tc>
        <w:tc>
          <w:tcPr>
            <w:tcW w:w="1648"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2023年城乡义务教育补助经费-公用经费和地财教</w:t>
            </w:r>
            <w:r>
              <w:rPr>
                <w:rFonts w:hint="eastAsia" w:ascii="仿宋" w:hAnsi="仿宋" w:eastAsia="仿宋" w:cs="仿宋"/>
                <w:position w:val="8"/>
                <w:sz w:val="20"/>
                <w:highlight w:val="none"/>
                <w:lang w:eastAsia="zh-CN"/>
              </w:rPr>
              <w:t>〔2022〕70号</w:t>
            </w:r>
          </w:p>
        </w:tc>
        <w:tc>
          <w:tcPr>
            <w:tcW w:w="6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105.73</w:t>
            </w:r>
          </w:p>
        </w:tc>
        <w:tc>
          <w:tcPr>
            <w:tcW w:w="5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63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105.73</w:t>
            </w:r>
          </w:p>
        </w:tc>
        <w:tc>
          <w:tcPr>
            <w:tcW w:w="68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3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3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1648"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合计</w:t>
            </w:r>
          </w:p>
        </w:tc>
        <w:tc>
          <w:tcPr>
            <w:tcW w:w="60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423.15</w:t>
            </w:r>
          </w:p>
        </w:tc>
        <w:tc>
          <w:tcPr>
            <w:tcW w:w="5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69.57</w:t>
            </w:r>
          </w:p>
        </w:tc>
        <w:tc>
          <w:tcPr>
            <w:tcW w:w="63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132.21</w:t>
            </w:r>
          </w:p>
        </w:tc>
        <w:tc>
          <w:tcPr>
            <w:tcW w:w="68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r>
              <w:rPr>
                <w:rFonts w:ascii="黑体" w:hAnsi="黑体" w:eastAsia="黑体" w:cs="黑体"/>
                <w:position w:val="8"/>
                <w:sz w:val="16"/>
                <w:highlight w:val="none"/>
              </w:rPr>
              <w:t>221.37</w:t>
            </w: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3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66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3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311"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r>
    </w:tbl>
    <w:p>
      <w:pPr>
        <w:rPr>
          <w:highlight w:val="none"/>
        </w:rPr>
        <w:sectPr>
          <w:pgMar w:top="1440" w:right="1803" w:bottom="1440" w:left="1803" w:header="720" w:footer="720" w:gutter="0"/>
          <w:cols w:space="720" w:num="1"/>
          <w:rtlGutter w:val="0"/>
          <w:docGrid w:linePitch="0" w:charSpace="0"/>
        </w:sectPr>
      </w:pPr>
      <w:r>
        <w:rPr>
          <w:highlight w:val="none"/>
        </w:rP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799"/>
        <w:gridCol w:w="801"/>
        <w:gridCol w:w="800"/>
        <w:gridCol w:w="2858"/>
        <w:gridCol w:w="966"/>
        <w:gridCol w:w="1088"/>
        <w:gridCol w:w="108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rPr>
                <w:highlight w:val="none"/>
              </w:rPr>
            </w:pPr>
            <w:r>
              <w:rPr>
                <w:rFonts w:ascii="仿宋" w:hAnsi="仿宋" w:eastAsia="仿宋" w:cs="仿宋"/>
                <w:position w:val="8"/>
                <w:sz w:val="20"/>
                <w:highlight w:val="none"/>
              </w:rPr>
              <w:t>表8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rPr>
                <w:highlight w:val="none"/>
              </w:rPr>
            </w:pPr>
            <w:r>
              <w:rPr>
                <w:rFonts w:ascii="黑体" w:hAnsi="黑体" w:eastAsia="黑体" w:cs="黑体"/>
                <w:position w:val="15"/>
                <w:sz w:val="28"/>
                <w:highlight w:val="none"/>
              </w:rPr>
              <w:t>政府性基金预算支出情况表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8" w:type="dxa"/>
            <w:gridSpan w:val="4"/>
            <w:tcBorders>
              <w:top w:val="nil"/>
              <w:left w:val="nil"/>
              <w:right w:val="nil"/>
            </w:tcBorders>
            <w:vAlign w:val="center"/>
          </w:tcPr>
          <w:p>
            <w:pPr>
              <w:ind w:left="150"/>
              <w:jc w:val="left"/>
              <w:rPr>
                <w:highlight w:val="none"/>
              </w:rPr>
            </w:pPr>
            <w:r>
              <w:rPr>
                <w:rFonts w:ascii="仿宋" w:hAnsi="仿宋" w:eastAsia="仿宋" w:cs="仿宋"/>
                <w:position w:val="8"/>
                <w:sz w:val="20"/>
                <w:highlight w:val="none"/>
              </w:rPr>
              <w:t>编制</w:t>
            </w:r>
            <w:r>
              <w:rPr>
                <w:rFonts w:hint="eastAsia" w:ascii="仿宋" w:hAnsi="仿宋" w:eastAsia="仿宋" w:cs="仿宋"/>
                <w:position w:val="8"/>
                <w:sz w:val="20"/>
                <w:highlight w:val="none"/>
                <w:lang w:val="en-US" w:eastAsia="zh-CN"/>
              </w:rPr>
              <w:t>部门</w:t>
            </w:r>
            <w:r>
              <w:rPr>
                <w:rFonts w:ascii="仿宋" w:hAnsi="仿宋" w:eastAsia="仿宋" w:cs="仿宋"/>
                <w:position w:val="8"/>
                <w:sz w:val="20"/>
                <w:highlight w:val="none"/>
              </w:rPr>
              <w:t>：皮山县皮西那乡中心小学</w:t>
            </w:r>
          </w:p>
        </w:tc>
        <w:tc>
          <w:tcPr>
            <w:tcW w:w="3142" w:type="dxa"/>
            <w:gridSpan w:val="3"/>
            <w:tcBorders>
              <w:top w:val="nil"/>
              <w:left w:val="nil"/>
              <w:right w:val="nil"/>
            </w:tcBorders>
            <w:vAlign w:val="center"/>
          </w:tcPr>
          <w:p>
            <w:pPr>
              <w:ind w:left="150"/>
              <w:jc w:val="right"/>
              <w:rPr>
                <w:highlight w:val="none"/>
              </w:rPr>
            </w:pPr>
            <w:r>
              <w:rPr>
                <w:rFonts w:ascii="仿宋" w:hAnsi="仿宋" w:eastAsia="仿宋" w:cs="仿宋"/>
                <w:position w:val="8"/>
                <w:sz w:val="20"/>
                <w:highlight w:val="none"/>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8" w:type="dxa"/>
            <w:gridSpan w:val="4"/>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项目</w:t>
            </w:r>
          </w:p>
        </w:tc>
        <w:tc>
          <w:tcPr>
            <w:tcW w:w="3142"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政府性基金预算支出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400"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功能分类科目编码</w:t>
            </w:r>
          </w:p>
        </w:tc>
        <w:tc>
          <w:tcPr>
            <w:tcW w:w="28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功能分类科目名称</w:t>
            </w:r>
          </w:p>
        </w:tc>
        <w:tc>
          <w:tcPr>
            <w:tcW w:w="96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合计</w:t>
            </w:r>
          </w:p>
        </w:tc>
        <w:tc>
          <w:tcPr>
            <w:tcW w:w="108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基本支出</w:t>
            </w:r>
          </w:p>
        </w:tc>
        <w:tc>
          <w:tcPr>
            <w:tcW w:w="108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9"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类</w:t>
            </w:r>
          </w:p>
        </w:tc>
        <w:tc>
          <w:tcPr>
            <w:tcW w:w="801"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款</w:t>
            </w: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项</w:t>
            </w:r>
          </w:p>
        </w:tc>
        <w:tc>
          <w:tcPr>
            <w:tcW w:w="2858" w:type="dxa"/>
            <w:vMerge w:val="continue"/>
          </w:tcPr>
          <w:p>
            <w:pPr>
              <w:rPr>
                <w:highlight w:val="none"/>
              </w:rPr>
            </w:pPr>
          </w:p>
        </w:tc>
        <w:tc>
          <w:tcPr>
            <w:tcW w:w="966" w:type="dxa"/>
            <w:vMerge w:val="continue"/>
          </w:tcPr>
          <w:p>
            <w:pPr>
              <w:rPr>
                <w:highlight w:val="none"/>
              </w:rPr>
            </w:pPr>
          </w:p>
        </w:tc>
        <w:tc>
          <w:tcPr>
            <w:tcW w:w="1088" w:type="dxa"/>
            <w:vMerge w:val="continue"/>
          </w:tcPr>
          <w:p>
            <w:pPr>
              <w:rPr>
                <w:highlight w:val="none"/>
              </w:rPr>
            </w:pPr>
          </w:p>
        </w:tc>
        <w:tc>
          <w:tcPr>
            <w:tcW w:w="1088" w:type="dxa"/>
            <w:vMerge w:val="continue"/>
          </w:tcPr>
          <w:p>
            <w:pPr>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80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2858"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合计</w:t>
            </w:r>
          </w:p>
        </w:tc>
        <w:tc>
          <w:tcPr>
            <w:tcW w:w="966"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1088"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1088"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9" w:type="dxa"/>
          </w:tcPr>
          <w:p>
            <w:pPr>
              <w:rPr>
                <w:highlight w:val="none"/>
              </w:rPr>
            </w:pPr>
          </w:p>
        </w:tc>
        <w:tc>
          <w:tcPr>
            <w:tcW w:w="801" w:type="dxa"/>
          </w:tcPr>
          <w:p>
            <w:pPr>
              <w:rPr>
                <w:highlight w:val="none"/>
              </w:rPr>
            </w:pPr>
          </w:p>
        </w:tc>
        <w:tc>
          <w:tcPr>
            <w:tcW w:w="800" w:type="dxa"/>
          </w:tcPr>
          <w:p>
            <w:pPr>
              <w:rPr>
                <w:highlight w:val="none"/>
              </w:rPr>
            </w:pPr>
          </w:p>
        </w:tc>
        <w:tc>
          <w:tcPr>
            <w:tcW w:w="2858" w:type="dxa"/>
          </w:tcPr>
          <w:p>
            <w:pPr>
              <w:rPr>
                <w:highlight w:val="none"/>
              </w:rPr>
            </w:pPr>
          </w:p>
        </w:tc>
        <w:tc>
          <w:tcPr>
            <w:tcW w:w="966" w:type="dxa"/>
          </w:tcPr>
          <w:p>
            <w:pPr>
              <w:rPr>
                <w:highlight w:val="none"/>
              </w:rPr>
            </w:pPr>
          </w:p>
        </w:tc>
        <w:tc>
          <w:tcPr>
            <w:tcW w:w="1088" w:type="dxa"/>
          </w:tcPr>
          <w:p>
            <w:pPr>
              <w:rPr>
                <w:highlight w:val="none"/>
              </w:rPr>
            </w:pPr>
          </w:p>
        </w:tc>
        <w:tc>
          <w:tcPr>
            <w:tcW w:w="1088" w:type="dxa"/>
          </w:tcPr>
          <w:p>
            <w:pPr>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9" w:type="dxa"/>
          </w:tcPr>
          <w:p>
            <w:pPr>
              <w:rPr>
                <w:highlight w:val="none"/>
              </w:rPr>
            </w:pPr>
          </w:p>
        </w:tc>
        <w:tc>
          <w:tcPr>
            <w:tcW w:w="801" w:type="dxa"/>
          </w:tcPr>
          <w:p>
            <w:pPr>
              <w:rPr>
                <w:highlight w:val="none"/>
              </w:rPr>
            </w:pPr>
          </w:p>
        </w:tc>
        <w:tc>
          <w:tcPr>
            <w:tcW w:w="800" w:type="dxa"/>
          </w:tcPr>
          <w:p>
            <w:pPr>
              <w:rPr>
                <w:highlight w:val="none"/>
              </w:rPr>
            </w:pPr>
          </w:p>
        </w:tc>
        <w:tc>
          <w:tcPr>
            <w:tcW w:w="2858" w:type="dxa"/>
          </w:tcPr>
          <w:p>
            <w:pPr>
              <w:rPr>
                <w:highlight w:val="none"/>
              </w:rPr>
            </w:pPr>
          </w:p>
        </w:tc>
        <w:tc>
          <w:tcPr>
            <w:tcW w:w="966" w:type="dxa"/>
          </w:tcPr>
          <w:p>
            <w:pPr>
              <w:rPr>
                <w:highlight w:val="none"/>
              </w:rPr>
            </w:pPr>
          </w:p>
        </w:tc>
        <w:tc>
          <w:tcPr>
            <w:tcW w:w="1088" w:type="dxa"/>
          </w:tcPr>
          <w:p>
            <w:pPr>
              <w:rPr>
                <w:highlight w:val="none"/>
              </w:rPr>
            </w:pPr>
          </w:p>
        </w:tc>
        <w:tc>
          <w:tcPr>
            <w:tcW w:w="1088" w:type="dxa"/>
          </w:tcPr>
          <w:p>
            <w:pPr>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9" w:type="dxa"/>
          </w:tcPr>
          <w:p>
            <w:pPr>
              <w:rPr>
                <w:highlight w:val="none"/>
              </w:rPr>
            </w:pPr>
          </w:p>
        </w:tc>
        <w:tc>
          <w:tcPr>
            <w:tcW w:w="801" w:type="dxa"/>
          </w:tcPr>
          <w:p>
            <w:pPr>
              <w:rPr>
                <w:highlight w:val="none"/>
              </w:rPr>
            </w:pPr>
          </w:p>
        </w:tc>
        <w:tc>
          <w:tcPr>
            <w:tcW w:w="800" w:type="dxa"/>
          </w:tcPr>
          <w:p>
            <w:pPr>
              <w:rPr>
                <w:highlight w:val="none"/>
              </w:rPr>
            </w:pPr>
          </w:p>
        </w:tc>
        <w:tc>
          <w:tcPr>
            <w:tcW w:w="2858" w:type="dxa"/>
          </w:tcPr>
          <w:p>
            <w:pPr>
              <w:rPr>
                <w:highlight w:val="none"/>
              </w:rPr>
            </w:pPr>
          </w:p>
        </w:tc>
        <w:tc>
          <w:tcPr>
            <w:tcW w:w="966" w:type="dxa"/>
          </w:tcPr>
          <w:p>
            <w:pPr>
              <w:rPr>
                <w:highlight w:val="none"/>
              </w:rPr>
            </w:pPr>
          </w:p>
        </w:tc>
        <w:tc>
          <w:tcPr>
            <w:tcW w:w="1088" w:type="dxa"/>
          </w:tcPr>
          <w:p>
            <w:pPr>
              <w:rPr>
                <w:highlight w:val="none"/>
              </w:rPr>
            </w:pPr>
          </w:p>
        </w:tc>
        <w:tc>
          <w:tcPr>
            <w:tcW w:w="1088" w:type="dxa"/>
          </w:tcPr>
          <w:p>
            <w:pPr>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9" w:type="dxa"/>
          </w:tcPr>
          <w:p>
            <w:pPr>
              <w:rPr>
                <w:highlight w:val="none"/>
              </w:rPr>
            </w:pPr>
          </w:p>
        </w:tc>
        <w:tc>
          <w:tcPr>
            <w:tcW w:w="801" w:type="dxa"/>
          </w:tcPr>
          <w:p>
            <w:pPr>
              <w:rPr>
                <w:highlight w:val="none"/>
              </w:rPr>
            </w:pPr>
          </w:p>
        </w:tc>
        <w:tc>
          <w:tcPr>
            <w:tcW w:w="800" w:type="dxa"/>
          </w:tcPr>
          <w:p>
            <w:pPr>
              <w:rPr>
                <w:highlight w:val="none"/>
              </w:rPr>
            </w:pPr>
          </w:p>
        </w:tc>
        <w:tc>
          <w:tcPr>
            <w:tcW w:w="2858" w:type="dxa"/>
          </w:tcPr>
          <w:p>
            <w:pPr>
              <w:rPr>
                <w:highlight w:val="none"/>
              </w:rPr>
            </w:pPr>
          </w:p>
        </w:tc>
        <w:tc>
          <w:tcPr>
            <w:tcW w:w="966" w:type="dxa"/>
          </w:tcPr>
          <w:p>
            <w:pPr>
              <w:rPr>
                <w:highlight w:val="none"/>
              </w:rPr>
            </w:pPr>
          </w:p>
        </w:tc>
        <w:tc>
          <w:tcPr>
            <w:tcW w:w="1088" w:type="dxa"/>
          </w:tcPr>
          <w:p>
            <w:pPr>
              <w:rPr>
                <w:highlight w:val="none"/>
              </w:rPr>
            </w:pPr>
          </w:p>
        </w:tc>
        <w:tc>
          <w:tcPr>
            <w:tcW w:w="1088" w:type="dxa"/>
          </w:tcPr>
          <w:p>
            <w:pPr>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9" w:type="dxa"/>
          </w:tcPr>
          <w:p>
            <w:pPr>
              <w:rPr>
                <w:highlight w:val="none"/>
              </w:rPr>
            </w:pPr>
          </w:p>
        </w:tc>
        <w:tc>
          <w:tcPr>
            <w:tcW w:w="801" w:type="dxa"/>
          </w:tcPr>
          <w:p>
            <w:pPr>
              <w:rPr>
                <w:highlight w:val="none"/>
              </w:rPr>
            </w:pPr>
          </w:p>
        </w:tc>
        <w:tc>
          <w:tcPr>
            <w:tcW w:w="800" w:type="dxa"/>
          </w:tcPr>
          <w:p>
            <w:pPr>
              <w:rPr>
                <w:highlight w:val="none"/>
              </w:rPr>
            </w:pPr>
          </w:p>
        </w:tc>
        <w:tc>
          <w:tcPr>
            <w:tcW w:w="2858" w:type="dxa"/>
          </w:tcPr>
          <w:p>
            <w:pPr>
              <w:rPr>
                <w:highlight w:val="none"/>
              </w:rPr>
            </w:pPr>
          </w:p>
        </w:tc>
        <w:tc>
          <w:tcPr>
            <w:tcW w:w="966" w:type="dxa"/>
          </w:tcPr>
          <w:p>
            <w:pPr>
              <w:rPr>
                <w:highlight w:val="none"/>
              </w:rPr>
            </w:pPr>
          </w:p>
        </w:tc>
        <w:tc>
          <w:tcPr>
            <w:tcW w:w="1088" w:type="dxa"/>
          </w:tcPr>
          <w:p>
            <w:pPr>
              <w:rPr>
                <w:highlight w:val="none"/>
              </w:rPr>
            </w:pPr>
          </w:p>
        </w:tc>
        <w:tc>
          <w:tcPr>
            <w:tcW w:w="1088" w:type="dxa"/>
          </w:tcPr>
          <w:p>
            <w:pPr>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left w:val="nil"/>
              <w:bottom w:val="nil"/>
              <w:right w:val="nil"/>
            </w:tcBorders>
            <w:vAlign w:val="center"/>
          </w:tcPr>
          <w:p>
            <w:pPr>
              <w:ind w:left="150"/>
              <w:jc w:val="left"/>
              <w:rPr>
                <w:highlight w:val="none"/>
              </w:rPr>
            </w:pPr>
            <w:r>
              <w:rPr>
                <w:rFonts w:ascii="仿宋" w:hAnsi="仿宋" w:eastAsia="仿宋" w:cs="仿宋"/>
                <w:position w:val="8"/>
                <w:sz w:val="20"/>
                <w:highlight w:val="none"/>
              </w:rPr>
              <w:t>皮山县皮西那乡中心小学2023年没有使用政府性基金预算拨款安排的支出，政府性基金预算支出情况表为空表。</w:t>
            </w:r>
          </w:p>
        </w:tc>
      </w:tr>
    </w:tbl>
    <w:p>
      <w:pPr>
        <w:rPr>
          <w:highlight w:val="none"/>
        </w:rPr>
        <w:sectPr>
          <w:pgMar w:top="1440" w:right="1803" w:bottom="1440" w:left="1803" w:header="720" w:footer="720" w:gutter="0"/>
          <w:cols w:space="720" w:num="1"/>
          <w:rtlGutter w:val="0"/>
          <w:docGrid w:linePitch="0" w:charSpace="0"/>
        </w:sectPr>
      </w:pPr>
      <w:r>
        <w:rPr>
          <w:highlight w:val="none"/>
        </w:rP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805"/>
        <w:gridCol w:w="806"/>
        <w:gridCol w:w="806"/>
        <w:gridCol w:w="2868"/>
        <w:gridCol w:w="867"/>
        <w:gridCol w:w="1124"/>
        <w:gridCol w:w="112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rPr>
                <w:highlight w:val="none"/>
              </w:rPr>
            </w:pPr>
            <w:r>
              <w:rPr>
                <w:rFonts w:ascii="仿宋" w:hAnsi="仿宋" w:eastAsia="仿宋" w:cs="仿宋"/>
                <w:position w:val="8"/>
                <w:sz w:val="20"/>
                <w:highlight w:val="none"/>
              </w:rPr>
              <w:t>表9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rPr>
                <w:highlight w:val="none"/>
              </w:rPr>
            </w:pPr>
            <w:r>
              <w:rPr>
                <w:rFonts w:ascii="黑体" w:hAnsi="黑体" w:eastAsia="黑体" w:cs="黑体"/>
                <w:position w:val="15"/>
                <w:sz w:val="28"/>
                <w:highlight w:val="none"/>
              </w:rPr>
              <w:t>国有资本经营预算支出情况表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85" w:type="dxa"/>
            <w:gridSpan w:val="4"/>
            <w:tcBorders>
              <w:top w:val="nil"/>
              <w:left w:val="nil"/>
              <w:right w:val="nil"/>
            </w:tcBorders>
            <w:vAlign w:val="center"/>
          </w:tcPr>
          <w:p>
            <w:pPr>
              <w:ind w:left="150"/>
              <w:jc w:val="left"/>
              <w:rPr>
                <w:highlight w:val="none"/>
              </w:rPr>
            </w:pPr>
            <w:r>
              <w:rPr>
                <w:rFonts w:ascii="仿宋" w:hAnsi="仿宋" w:eastAsia="仿宋" w:cs="仿宋"/>
                <w:position w:val="8"/>
                <w:sz w:val="20"/>
                <w:highlight w:val="none"/>
              </w:rPr>
              <w:t>编制</w:t>
            </w:r>
            <w:r>
              <w:rPr>
                <w:rFonts w:hint="eastAsia" w:ascii="仿宋" w:hAnsi="仿宋" w:eastAsia="仿宋" w:cs="仿宋"/>
                <w:position w:val="8"/>
                <w:sz w:val="20"/>
                <w:highlight w:val="none"/>
                <w:lang w:val="en-US" w:eastAsia="zh-CN"/>
              </w:rPr>
              <w:t>部门</w:t>
            </w:r>
            <w:r>
              <w:rPr>
                <w:rFonts w:ascii="仿宋" w:hAnsi="仿宋" w:eastAsia="仿宋" w:cs="仿宋"/>
                <w:position w:val="8"/>
                <w:sz w:val="20"/>
                <w:highlight w:val="none"/>
              </w:rPr>
              <w:t>：皮山县皮西那乡中心小学</w:t>
            </w:r>
          </w:p>
        </w:tc>
        <w:tc>
          <w:tcPr>
            <w:tcW w:w="3115" w:type="dxa"/>
            <w:gridSpan w:val="3"/>
            <w:tcBorders>
              <w:top w:val="nil"/>
              <w:left w:val="nil"/>
              <w:right w:val="nil"/>
            </w:tcBorders>
            <w:vAlign w:val="center"/>
          </w:tcPr>
          <w:p>
            <w:pPr>
              <w:ind w:left="150"/>
              <w:jc w:val="right"/>
              <w:rPr>
                <w:highlight w:val="none"/>
              </w:rPr>
            </w:pPr>
            <w:r>
              <w:rPr>
                <w:rFonts w:ascii="仿宋" w:hAnsi="仿宋" w:eastAsia="仿宋" w:cs="仿宋"/>
                <w:position w:val="8"/>
                <w:sz w:val="20"/>
                <w:highlight w:val="none"/>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85" w:type="dxa"/>
            <w:gridSpan w:val="4"/>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项目</w:t>
            </w:r>
          </w:p>
        </w:tc>
        <w:tc>
          <w:tcPr>
            <w:tcW w:w="3115"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国有资本经营预算支出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417"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功能分类科目编码</w:t>
            </w:r>
          </w:p>
        </w:tc>
        <w:tc>
          <w:tcPr>
            <w:tcW w:w="286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功能分类科目名称</w:t>
            </w:r>
          </w:p>
        </w:tc>
        <w:tc>
          <w:tcPr>
            <w:tcW w:w="86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合计</w:t>
            </w:r>
          </w:p>
        </w:tc>
        <w:tc>
          <w:tcPr>
            <w:tcW w:w="112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基本支出</w:t>
            </w:r>
          </w:p>
        </w:tc>
        <w:tc>
          <w:tcPr>
            <w:tcW w:w="112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5"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类</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款</w:t>
            </w: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项</w:t>
            </w:r>
          </w:p>
        </w:tc>
        <w:tc>
          <w:tcPr>
            <w:tcW w:w="2868" w:type="dxa"/>
            <w:vMerge w:val="continue"/>
          </w:tcPr>
          <w:p>
            <w:pPr>
              <w:rPr>
                <w:highlight w:val="none"/>
              </w:rPr>
            </w:pPr>
          </w:p>
        </w:tc>
        <w:tc>
          <w:tcPr>
            <w:tcW w:w="867" w:type="dxa"/>
            <w:vMerge w:val="continue"/>
          </w:tcPr>
          <w:p>
            <w:pPr>
              <w:rPr>
                <w:highlight w:val="none"/>
              </w:rPr>
            </w:pPr>
          </w:p>
        </w:tc>
        <w:tc>
          <w:tcPr>
            <w:tcW w:w="1124" w:type="dxa"/>
            <w:vMerge w:val="continue"/>
          </w:tcPr>
          <w:p>
            <w:pPr>
              <w:rPr>
                <w:highlight w:val="none"/>
              </w:rPr>
            </w:pPr>
          </w:p>
        </w:tc>
        <w:tc>
          <w:tcPr>
            <w:tcW w:w="1124" w:type="dxa"/>
            <w:vMerge w:val="continue"/>
          </w:tcPr>
          <w:p>
            <w:pPr>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80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highlight w:val="none"/>
                <w:lang w:eastAsia="zh-CN"/>
              </w:rPr>
            </w:pPr>
          </w:p>
        </w:tc>
        <w:tc>
          <w:tcPr>
            <w:tcW w:w="2868"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合计</w:t>
            </w: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p>
        </w:tc>
        <w:tc>
          <w:tcPr>
            <w:tcW w:w="1124"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c>
          <w:tcPr>
            <w:tcW w:w="1124" w:type="dxa"/>
            <w:tcBorders>
              <w:top w:val="single" w:color="auto" w:sz="0" w:space="0"/>
              <w:left w:val="single" w:color="auto" w:sz="0" w:space="0"/>
              <w:bottom w:val="single" w:color="auto" w:sz="0" w:space="0"/>
              <w:right w:val="single" w:color="auto" w:sz="0" w:space="0"/>
            </w:tcBorders>
            <w:vAlign w:val="center"/>
          </w:tcPr>
          <w:p>
            <w:pPr>
              <w:ind w:left="30"/>
              <w:jc w:val="right"/>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5" w:type="dxa"/>
          </w:tcPr>
          <w:p>
            <w:pPr>
              <w:rPr>
                <w:highlight w:val="none"/>
              </w:rPr>
            </w:pPr>
          </w:p>
        </w:tc>
        <w:tc>
          <w:tcPr>
            <w:tcW w:w="806" w:type="dxa"/>
          </w:tcPr>
          <w:p>
            <w:pPr>
              <w:rPr>
                <w:highlight w:val="none"/>
              </w:rPr>
            </w:pPr>
          </w:p>
        </w:tc>
        <w:tc>
          <w:tcPr>
            <w:tcW w:w="806" w:type="dxa"/>
          </w:tcPr>
          <w:p>
            <w:pPr>
              <w:rPr>
                <w:highlight w:val="none"/>
              </w:rPr>
            </w:pPr>
          </w:p>
        </w:tc>
        <w:tc>
          <w:tcPr>
            <w:tcW w:w="2868" w:type="dxa"/>
          </w:tcPr>
          <w:p>
            <w:pPr>
              <w:rPr>
                <w:highlight w:val="none"/>
              </w:rPr>
            </w:pPr>
          </w:p>
        </w:tc>
        <w:tc>
          <w:tcPr>
            <w:tcW w:w="867" w:type="dxa"/>
          </w:tcPr>
          <w:p>
            <w:pPr>
              <w:rPr>
                <w:highlight w:val="none"/>
              </w:rPr>
            </w:pPr>
          </w:p>
        </w:tc>
        <w:tc>
          <w:tcPr>
            <w:tcW w:w="1124" w:type="dxa"/>
          </w:tcPr>
          <w:p>
            <w:pPr>
              <w:rPr>
                <w:highlight w:val="none"/>
              </w:rPr>
            </w:pPr>
          </w:p>
        </w:tc>
        <w:tc>
          <w:tcPr>
            <w:tcW w:w="1124" w:type="dxa"/>
          </w:tcPr>
          <w:p>
            <w:pPr>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5" w:type="dxa"/>
          </w:tcPr>
          <w:p>
            <w:pPr>
              <w:rPr>
                <w:highlight w:val="none"/>
              </w:rPr>
            </w:pPr>
          </w:p>
        </w:tc>
        <w:tc>
          <w:tcPr>
            <w:tcW w:w="806" w:type="dxa"/>
          </w:tcPr>
          <w:p>
            <w:pPr>
              <w:rPr>
                <w:highlight w:val="none"/>
              </w:rPr>
            </w:pPr>
          </w:p>
        </w:tc>
        <w:tc>
          <w:tcPr>
            <w:tcW w:w="806" w:type="dxa"/>
          </w:tcPr>
          <w:p>
            <w:pPr>
              <w:rPr>
                <w:highlight w:val="none"/>
              </w:rPr>
            </w:pPr>
          </w:p>
        </w:tc>
        <w:tc>
          <w:tcPr>
            <w:tcW w:w="2868" w:type="dxa"/>
          </w:tcPr>
          <w:p>
            <w:pPr>
              <w:rPr>
                <w:highlight w:val="none"/>
              </w:rPr>
            </w:pPr>
          </w:p>
        </w:tc>
        <w:tc>
          <w:tcPr>
            <w:tcW w:w="867" w:type="dxa"/>
          </w:tcPr>
          <w:p>
            <w:pPr>
              <w:rPr>
                <w:highlight w:val="none"/>
              </w:rPr>
            </w:pPr>
          </w:p>
        </w:tc>
        <w:tc>
          <w:tcPr>
            <w:tcW w:w="1124" w:type="dxa"/>
          </w:tcPr>
          <w:p>
            <w:pPr>
              <w:rPr>
                <w:highlight w:val="none"/>
              </w:rPr>
            </w:pPr>
          </w:p>
        </w:tc>
        <w:tc>
          <w:tcPr>
            <w:tcW w:w="1124" w:type="dxa"/>
          </w:tcPr>
          <w:p>
            <w:pPr>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5" w:type="dxa"/>
          </w:tcPr>
          <w:p>
            <w:pPr>
              <w:rPr>
                <w:highlight w:val="none"/>
              </w:rPr>
            </w:pPr>
          </w:p>
        </w:tc>
        <w:tc>
          <w:tcPr>
            <w:tcW w:w="806" w:type="dxa"/>
          </w:tcPr>
          <w:p>
            <w:pPr>
              <w:rPr>
                <w:highlight w:val="none"/>
              </w:rPr>
            </w:pPr>
          </w:p>
        </w:tc>
        <w:tc>
          <w:tcPr>
            <w:tcW w:w="806" w:type="dxa"/>
          </w:tcPr>
          <w:p>
            <w:pPr>
              <w:rPr>
                <w:highlight w:val="none"/>
              </w:rPr>
            </w:pPr>
          </w:p>
        </w:tc>
        <w:tc>
          <w:tcPr>
            <w:tcW w:w="2868" w:type="dxa"/>
          </w:tcPr>
          <w:p>
            <w:pPr>
              <w:rPr>
                <w:highlight w:val="none"/>
              </w:rPr>
            </w:pPr>
          </w:p>
        </w:tc>
        <w:tc>
          <w:tcPr>
            <w:tcW w:w="867" w:type="dxa"/>
          </w:tcPr>
          <w:p>
            <w:pPr>
              <w:rPr>
                <w:highlight w:val="none"/>
              </w:rPr>
            </w:pPr>
          </w:p>
        </w:tc>
        <w:tc>
          <w:tcPr>
            <w:tcW w:w="1124" w:type="dxa"/>
          </w:tcPr>
          <w:p>
            <w:pPr>
              <w:rPr>
                <w:highlight w:val="none"/>
              </w:rPr>
            </w:pPr>
          </w:p>
        </w:tc>
        <w:tc>
          <w:tcPr>
            <w:tcW w:w="1124" w:type="dxa"/>
          </w:tcPr>
          <w:p>
            <w:pPr>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5" w:type="dxa"/>
          </w:tcPr>
          <w:p>
            <w:pPr>
              <w:rPr>
                <w:highlight w:val="none"/>
              </w:rPr>
            </w:pPr>
          </w:p>
        </w:tc>
        <w:tc>
          <w:tcPr>
            <w:tcW w:w="806" w:type="dxa"/>
          </w:tcPr>
          <w:p>
            <w:pPr>
              <w:rPr>
                <w:highlight w:val="none"/>
              </w:rPr>
            </w:pPr>
          </w:p>
        </w:tc>
        <w:tc>
          <w:tcPr>
            <w:tcW w:w="806" w:type="dxa"/>
          </w:tcPr>
          <w:p>
            <w:pPr>
              <w:rPr>
                <w:highlight w:val="none"/>
              </w:rPr>
            </w:pPr>
          </w:p>
        </w:tc>
        <w:tc>
          <w:tcPr>
            <w:tcW w:w="2868" w:type="dxa"/>
          </w:tcPr>
          <w:p>
            <w:pPr>
              <w:rPr>
                <w:highlight w:val="none"/>
              </w:rPr>
            </w:pPr>
          </w:p>
        </w:tc>
        <w:tc>
          <w:tcPr>
            <w:tcW w:w="867" w:type="dxa"/>
          </w:tcPr>
          <w:p>
            <w:pPr>
              <w:rPr>
                <w:highlight w:val="none"/>
              </w:rPr>
            </w:pPr>
          </w:p>
        </w:tc>
        <w:tc>
          <w:tcPr>
            <w:tcW w:w="1124" w:type="dxa"/>
          </w:tcPr>
          <w:p>
            <w:pPr>
              <w:rPr>
                <w:highlight w:val="none"/>
              </w:rPr>
            </w:pPr>
          </w:p>
        </w:tc>
        <w:tc>
          <w:tcPr>
            <w:tcW w:w="1124" w:type="dxa"/>
          </w:tcPr>
          <w:p>
            <w:pPr>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5" w:type="dxa"/>
          </w:tcPr>
          <w:p>
            <w:pPr>
              <w:rPr>
                <w:highlight w:val="none"/>
              </w:rPr>
            </w:pPr>
          </w:p>
        </w:tc>
        <w:tc>
          <w:tcPr>
            <w:tcW w:w="806" w:type="dxa"/>
          </w:tcPr>
          <w:p>
            <w:pPr>
              <w:rPr>
                <w:highlight w:val="none"/>
              </w:rPr>
            </w:pPr>
          </w:p>
        </w:tc>
        <w:tc>
          <w:tcPr>
            <w:tcW w:w="806" w:type="dxa"/>
          </w:tcPr>
          <w:p>
            <w:pPr>
              <w:rPr>
                <w:highlight w:val="none"/>
              </w:rPr>
            </w:pPr>
          </w:p>
        </w:tc>
        <w:tc>
          <w:tcPr>
            <w:tcW w:w="2868" w:type="dxa"/>
          </w:tcPr>
          <w:p>
            <w:pPr>
              <w:rPr>
                <w:highlight w:val="none"/>
              </w:rPr>
            </w:pPr>
          </w:p>
        </w:tc>
        <w:tc>
          <w:tcPr>
            <w:tcW w:w="867" w:type="dxa"/>
          </w:tcPr>
          <w:p>
            <w:pPr>
              <w:rPr>
                <w:highlight w:val="none"/>
              </w:rPr>
            </w:pPr>
          </w:p>
        </w:tc>
        <w:tc>
          <w:tcPr>
            <w:tcW w:w="1124" w:type="dxa"/>
          </w:tcPr>
          <w:p>
            <w:pPr>
              <w:rPr>
                <w:highlight w:val="none"/>
              </w:rPr>
            </w:pPr>
          </w:p>
        </w:tc>
        <w:tc>
          <w:tcPr>
            <w:tcW w:w="1124" w:type="dxa"/>
          </w:tcPr>
          <w:p>
            <w:pPr>
              <w:rPr>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left w:val="nil"/>
              <w:bottom w:val="nil"/>
              <w:right w:val="nil"/>
            </w:tcBorders>
            <w:vAlign w:val="center"/>
          </w:tcPr>
          <w:p>
            <w:pPr>
              <w:ind w:left="150"/>
              <w:jc w:val="left"/>
              <w:rPr>
                <w:highlight w:val="none"/>
              </w:rPr>
            </w:pPr>
            <w:r>
              <w:rPr>
                <w:rFonts w:ascii="仿宋" w:hAnsi="仿宋" w:eastAsia="仿宋" w:cs="仿宋"/>
                <w:position w:val="8"/>
                <w:sz w:val="20"/>
                <w:highlight w:val="none"/>
              </w:rPr>
              <w:t>皮山县皮西那乡中心小学2023年没有安排国有资本经营预算的支出，国有资本经营预算支出情况表为空表。</w:t>
            </w:r>
          </w:p>
        </w:tc>
      </w:tr>
    </w:tbl>
    <w:p>
      <w:pPr>
        <w:rPr>
          <w:highlight w:val="none"/>
        </w:rPr>
        <w:sectPr>
          <w:pgMar w:top="1440" w:right="1803" w:bottom="1440" w:left="1803" w:header="720" w:footer="720" w:gutter="0"/>
          <w:cols w:space="720" w:num="1"/>
          <w:rtlGutter w:val="0"/>
          <w:docGrid w:linePitch="0" w:charSpace="0"/>
        </w:sectPr>
      </w:pPr>
      <w:r>
        <w:rPr>
          <w:highlight w:val="none"/>
        </w:rP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164"/>
        <w:gridCol w:w="541"/>
        <w:gridCol w:w="1173"/>
        <w:gridCol w:w="997"/>
        <w:gridCol w:w="152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5"/>
            <w:tcBorders>
              <w:top w:val="nil"/>
              <w:left w:val="nil"/>
              <w:bottom w:val="nil"/>
              <w:right w:val="nil"/>
            </w:tcBorders>
            <w:vAlign w:val="center"/>
          </w:tcPr>
          <w:p>
            <w:pPr>
              <w:ind w:left="150"/>
              <w:jc w:val="left"/>
              <w:rPr>
                <w:highlight w:val="none"/>
              </w:rPr>
            </w:pPr>
            <w:r>
              <w:rPr>
                <w:rFonts w:ascii="仿宋" w:hAnsi="仿宋" w:eastAsia="仿宋" w:cs="仿宋"/>
                <w:position w:val="8"/>
                <w:sz w:val="20"/>
                <w:highlight w:val="none"/>
              </w:rPr>
              <w:t>表10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5"/>
            <w:tcBorders>
              <w:top w:val="nil"/>
              <w:left w:val="nil"/>
              <w:bottom w:val="nil"/>
              <w:right w:val="nil"/>
            </w:tcBorders>
            <w:vAlign w:val="center"/>
          </w:tcPr>
          <w:p>
            <w:pPr>
              <w:ind w:left="150"/>
              <w:jc w:val="center"/>
              <w:rPr>
                <w:highlight w:val="none"/>
              </w:rPr>
            </w:pPr>
            <w:r>
              <w:rPr>
                <w:rFonts w:ascii="黑体" w:hAnsi="黑体" w:eastAsia="黑体" w:cs="黑体"/>
                <w:position w:val="15"/>
                <w:sz w:val="28"/>
                <w:highlight w:val="none"/>
              </w:rPr>
              <w:t>财政拨款“三公”经费支出情况表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705" w:type="dxa"/>
            <w:gridSpan w:val="2"/>
            <w:tcBorders>
              <w:top w:val="nil"/>
              <w:left w:val="nil"/>
              <w:right w:val="nil"/>
            </w:tcBorders>
            <w:vAlign w:val="center"/>
          </w:tcPr>
          <w:p>
            <w:pPr>
              <w:ind w:left="150"/>
              <w:jc w:val="left"/>
              <w:rPr>
                <w:highlight w:val="none"/>
              </w:rPr>
            </w:pPr>
            <w:r>
              <w:rPr>
                <w:rFonts w:ascii="仿宋" w:hAnsi="仿宋" w:eastAsia="仿宋" w:cs="仿宋"/>
                <w:position w:val="8"/>
                <w:sz w:val="20"/>
                <w:highlight w:val="none"/>
              </w:rPr>
              <w:t>编制</w:t>
            </w:r>
            <w:r>
              <w:rPr>
                <w:rFonts w:hint="eastAsia" w:ascii="仿宋" w:hAnsi="仿宋" w:eastAsia="仿宋" w:cs="仿宋"/>
                <w:position w:val="8"/>
                <w:sz w:val="20"/>
                <w:highlight w:val="none"/>
                <w:lang w:val="en-US" w:eastAsia="zh-CN"/>
              </w:rPr>
              <w:t>部门</w:t>
            </w:r>
            <w:r>
              <w:rPr>
                <w:rFonts w:ascii="仿宋" w:hAnsi="仿宋" w:eastAsia="仿宋" w:cs="仿宋"/>
                <w:position w:val="8"/>
                <w:sz w:val="20"/>
                <w:highlight w:val="none"/>
              </w:rPr>
              <w:t>：皮山县皮西那乡中心小学</w:t>
            </w:r>
          </w:p>
        </w:tc>
        <w:tc>
          <w:tcPr>
            <w:tcW w:w="3695" w:type="dxa"/>
            <w:gridSpan w:val="3"/>
            <w:tcBorders>
              <w:top w:val="nil"/>
              <w:left w:val="nil"/>
              <w:right w:val="nil"/>
            </w:tcBorders>
            <w:vAlign w:val="center"/>
          </w:tcPr>
          <w:p>
            <w:pPr>
              <w:ind w:left="150"/>
              <w:jc w:val="right"/>
              <w:rPr>
                <w:highlight w:val="none"/>
              </w:rPr>
            </w:pPr>
            <w:r>
              <w:rPr>
                <w:rFonts w:ascii="仿宋" w:hAnsi="仿宋" w:eastAsia="仿宋" w:cs="仿宋"/>
                <w:position w:val="8"/>
                <w:sz w:val="20"/>
                <w:highlight w:val="none"/>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16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三公支出内容</w:t>
            </w:r>
          </w:p>
        </w:tc>
        <w:tc>
          <w:tcPr>
            <w:tcW w:w="54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合计</w:t>
            </w:r>
          </w:p>
        </w:tc>
        <w:tc>
          <w:tcPr>
            <w:tcW w:w="3695"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资金来源</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164" w:type="dxa"/>
            <w:vMerge w:val="continue"/>
          </w:tcPr>
          <w:p>
            <w:pPr>
              <w:rPr>
                <w:highlight w:val="none"/>
              </w:rPr>
            </w:pPr>
          </w:p>
        </w:tc>
        <w:tc>
          <w:tcPr>
            <w:tcW w:w="541" w:type="dxa"/>
            <w:vMerge w:val="continue"/>
          </w:tcPr>
          <w:p>
            <w:pPr>
              <w:rPr>
                <w:highlight w:val="none"/>
              </w:rPr>
            </w:pP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一般公共预算</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政府性基金</w:t>
            </w:r>
          </w:p>
        </w:tc>
        <w:tc>
          <w:tcPr>
            <w:tcW w:w="1525" w:type="dxa"/>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黑体" w:hAnsi="黑体" w:eastAsia="黑体" w:cs="黑体"/>
                <w:position w:val="10"/>
                <w:sz w:val="20"/>
                <w:highlight w:val="none"/>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164"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合计</w:t>
            </w:r>
          </w:p>
        </w:tc>
        <w:tc>
          <w:tcPr>
            <w:tcW w:w="5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5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164"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因公出国(境)费用</w:t>
            </w:r>
          </w:p>
        </w:tc>
        <w:tc>
          <w:tcPr>
            <w:tcW w:w="5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5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164"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公务接待费</w:t>
            </w:r>
          </w:p>
        </w:tc>
        <w:tc>
          <w:tcPr>
            <w:tcW w:w="5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5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164"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公务用车购置及运行费（小计）</w:t>
            </w:r>
          </w:p>
        </w:tc>
        <w:tc>
          <w:tcPr>
            <w:tcW w:w="5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5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164"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其中：公务用车购置费</w:t>
            </w:r>
          </w:p>
        </w:tc>
        <w:tc>
          <w:tcPr>
            <w:tcW w:w="5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5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164" w:type="dxa"/>
            <w:tcBorders>
              <w:top w:val="single" w:color="auto" w:sz="0" w:space="0"/>
              <w:left w:val="single" w:color="auto" w:sz="0" w:space="0"/>
              <w:bottom w:val="single" w:color="auto" w:sz="0" w:space="0"/>
              <w:right w:val="single" w:color="auto" w:sz="0" w:space="0"/>
            </w:tcBorders>
            <w:vAlign w:val="center"/>
          </w:tcPr>
          <w:p>
            <w:pPr>
              <w:ind w:left="30"/>
              <w:jc w:val="left"/>
              <w:rPr>
                <w:highlight w:val="none"/>
              </w:rPr>
            </w:pPr>
            <w:r>
              <w:rPr>
                <w:rFonts w:ascii="仿宋" w:hAnsi="仿宋" w:eastAsia="仿宋" w:cs="仿宋"/>
                <w:position w:val="8"/>
                <w:sz w:val="20"/>
                <w:highlight w:val="none"/>
              </w:rPr>
              <w:t>公务用车运行费</w:t>
            </w:r>
          </w:p>
        </w:tc>
        <w:tc>
          <w:tcPr>
            <w:tcW w:w="54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c>
          <w:tcPr>
            <w:tcW w:w="152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5"/>
            <w:tcBorders>
              <w:left w:val="nil"/>
              <w:bottom w:val="nil"/>
              <w:right w:val="nil"/>
            </w:tcBorders>
            <w:vAlign w:val="center"/>
          </w:tcPr>
          <w:p>
            <w:pPr>
              <w:ind w:left="150"/>
              <w:jc w:val="left"/>
              <w:rPr>
                <w:highlight w:val="none"/>
              </w:rPr>
            </w:pPr>
            <w:r>
              <w:rPr>
                <w:rFonts w:ascii="仿宋" w:hAnsi="仿宋" w:eastAsia="仿宋" w:cs="仿宋"/>
                <w:position w:val="8"/>
                <w:sz w:val="20"/>
                <w:highlight w:val="none"/>
              </w:rPr>
              <w:t>皮山县皮西那乡中心小学2023年没有使用财政拨款“三公”经费安排的支出，财政拨款“三公”经费支出情况表为空表。</w:t>
            </w:r>
          </w:p>
        </w:tc>
      </w:tr>
    </w:tbl>
    <w:p>
      <w:pPr>
        <w:rPr>
          <w:highlight w:val="none"/>
        </w:rPr>
        <w:sectPr>
          <w:pgMar w:top="1440" w:right="1803" w:bottom="1440" w:left="1803" w:header="720" w:footer="720" w:gutter="0"/>
          <w:cols w:space="720" w:num="1"/>
          <w:rtlGutter w:val="0"/>
          <w:docGrid w:linePitch="0" w:charSpace="0"/>
        </w:sectPr>
      </w:pPr>
      <w:r>
        <w:rPr>
          <w:highlight w:val="none"/>
        </w:rPr>
        <w:br w:type="textWrapping"/>
      </w:r>
    </w:p>
    <w:p>
      <w:pPr>
        <w:ind w:left="200" w:right="200" w:firstLine="500"/>
        <w:jc w:val="center"/>
        <w:rPr>
          <w:highlight w:val="none"/>
        </w:rPr>
      </w:pPr>
      <w:r>
        <w:rPr>
          <w:rFonts w:ascii="黑体" w:hAnsi="黑体" w:eastAsia="黑体" w:cs="黑体"/>
          <w:position w:val="30"/>
          <w:sz w:val="42"/>
          <w:highlight w:val="none"/>
        </w:rPr>
        <w:t>第三部分2023年单</w:t>
      </w:r>
      <w:r>
        <w:rPr>
          <w:rFonts w:hint="eastAsia" w:ascii="黑体" w:hAnsi="黑体" w:eastAsia="黑体" w:cs="黑体"/>
          <w:position w:val="30"/>
          <w:sz w:val="42"/>
          <w:highlight w:val="none"/>
          <w:lang w:val="en-US" w:eastAsia="zh-CN"/>
        </w:rPr>
        <w:t>部门</w:t>
      </w:r>
      <w:r>
        <w:rPr>
          <w:rFonts w:ascii="黑体" w:hAnsi="黑体" w:eastAsia="黑体" w:cs="黑体"/>
          <w:position w:val="30"/>
          <w:sz w:val="42"/>
          <w:highlight w:val="none"/>
        </w:rPr>
        <w:t>预算情况说明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highlight w:val="none"/>
        </w:rPr>
      </w:pPr>
      <w:r>
        <w:rPr>
          <w:rFonts w:ascii="黑体" w:hAnsi="黑体" w:eastAsia="黑体" w:cs="黑体"/>
          <w:position w:val="20"/>
          <w:sz w:val="32"/>
          <w:szCs w:val="32"/>
          <w:highlight w:val="none"/>
        </w:rPr>
        <w:t>一、关于皮山县皮西那乡中心小学2023年收支预算情况的总体说明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按照全口径预算的原则，皮山县皮西那乡中心小学2023年所有收入和支出均纳入单位预算管理。收支总预算2066.43万元。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收入预算包括：一般公共预算、财政拨款。</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支出预算包括：教育支出。</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highlight w:val="none"/>
        </w:rPr>
      </w:pPr>
      <w:r>
        <w:rPr>
          <w:rFonts w:ascii="黑体" w:hAnsi="黑体" w:eastAsia="黑体" w:cs="黑体"/>
          <w:position w:val="20"/>
          <w:sz w:val="32"/>
          <w:szCs w:val="32"/>
          <w:highlight w:val="none"/>
        </w:rPr>
        <w:t>二、关于皮山县皮西那乡中心小学2023年收入预算情况说明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皮山县皮西那乡中心小学收入预算2066.43万元，其中：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一般公共预算1472.34万元，占71.25%，比上年预算增加59.57万元，增长4.22%，主要原因是因人员岗位调整，新进2人，故工资津贴增加。</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上级一般公共预算安排的转移支付资金423.15万元，占20.48%，比上年预算增加423.15万元，增长100.00%，主要原因是2022年年初预算时，未将上级转移支付资金纳入预算数，2023年将上级转移支付资金纳入年初预算。</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国有资本经营预算未安排。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财政拨款结转170.94万元，占8.27%，比上年预算增加170.94万元，增长100.00%，主要原因是2022年9月</w:t>
      </w:r>
      <w:r>
        <w:rPr>
          <w:rFonts w:hint="eastAsia" w:ascii="仿宋" w:hAnsi="仿宋" w:eastAsia="仿宋" w:cs="仿宋"/>
          <w:position w:val="10"/>
          <w:sz w:val="32"/>
          <w:szCs w:val="32"/>
          <w:highlight w:val="none"/>
          <w:lang w:eastAsia="zh-CN"/>
        </w:rPr>
        <w:t>特殊</w:t>
      </w:r>
      <w:r>
        <w:rPr>
          <w:rFonts w:ascii="仿宋" w:hAnsi="仿宋" w:eastAsia="仿宋" w:cs="仿宋"/>
          <w:position w:val="10"/>
          <w:sz w:val="32"/>
          <w:szCs w:val="32"/>
          <w:highlight w:val="none"/>
        </w:rPr>
        <w:t>原因学校未开学、未进行支付，将剩余资金170.94万元结转到2023年。</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highlight w:val="none"/>
        </w:rPr>
      </w:pPr>
      <w:r>
        <w:rPr>
          <w:rFonts w:ascii="黑体" w:hAnsi="黑体" w:eastAsia="黑体" w:cs="黑体"/>
          <w:position w:val="20"/>
          <w:sz w:val="32"/>
          <w:szCs w:val="32"/>
          <w:highlight w:val="none"/>
        </w:rPr>
        <w:t>三、关于皮山县皮西那乡中心小学2023年支出预算情况说明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皮山县皮西那乡中心小学2023年支出预算2066.43万元，其中：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基本支出1472.34万元，占71.25%，比上年预算增加59.57万元，增长4.22%，主要原因是因人员岗位调整，新进2人，故工资津贴增加。</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项目支出594.09万元，占28.75%，比上年预算增加594.09万元，增长100.00%，主要原因是2022年年初预算时，未将上级转移支付资金纳入预算数，2023年将上级转移支付资金纳入年初预算，2022年9月</w:t>
      </w:r>
      <w:r>
        <w:rPr>
          <w:rFonts w:hint="eastAsia" w:ascii="仿宋" w:hAnsi="仿宋" w:eastAsia="仿宋" w:cs="仿宋"/>
          <w:position w:val="10"/>
          <w:sz w:val="32"/>
          <w:szCs w:val="32"/>
          <w:highlight w:val="none"/>
          <w:lang w:eastAsia="zh-CN"/>
        </w:rPr>
        <w:t>特殊</w:t>
      </w:r>
      <w:r>
        <w:rPr>
          <w:rFonts w:ascii="仿宋" w:hAnsi="仿宋" w:eastAsia="仿宋" w:cs="仿宋"/>
          <w:position w:val="10"/>
          <w:sz w:val="32"/>
          <w:szCs w:val="32"/>
          <w:highlight w:val="none"/>
        </w:rPr>
        <w:t>原因学校未开学、未进行支付，将剩余资金170.94万元结转到2023年。</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highlight w:val="none"/>
        </w:rPr>
      </w:pPr>
      <w:r>
        <w:rPr>
          <w:rFonts w:ascii="黑体" w:hAnsi="黑体" w:eastAsia="黑体" w:cs="黑体"/>
          <w:position w:val="20"/>
          <w:sz w:val="32"/>
          <w:szCs w:val="32"/>
          <w:highlight w:val="none"/>
        </w:rPr>
        <w:t>四、关于皮山县皮西那乡中心小学2023年财政拨款收支预算情况的总体说明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2023年财政拨款收支总预算1895.49万元。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收入预算包括：一般公共预算拨款1895.49万元。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一般公共预算支出包括：教育支出1895.49万元，主要用于教师工资，学校取暖费，学校正常开展教育教学工作。</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highlight w:val="none"/>
        </w:rPr>
      </w:pPr>
      <w:r>
        <w:rPr>
          <w:rFonts w:ascii="黑体" w:hAnsi="黑体" w:eastAsia="黑体" w:cs="黑体"/>
          <w:position w:val="20"/>
          <w:sz w:val="32"/>
          <w:szCs w:val="32"/>
          <w:highlight w:val="none"/>
        </w:rPr>
        <w:t>五、关于皮山县皮西那乡中心小学2023年一般公共预算当年拨款情况说明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highlight w:val="none"/>
        </w:rPr>
      </w:pPr>
      <w:r>
        <w:rPr>
          <w:rFonts w:hint="eastAsia" w:ascii="楷体_GB2312" w:hAnsi="楷体_GB2312" w:eastAsia="楷体_GB2312" w:cs="楷体_GB2312"/>
          <w:b/>
          <w:bCs/>
          <w:position w:val="2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皮山县皮西那乡中心小学2023年一般公共预算拨款合计1895.49万元，其中：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基本支出1472.34万元，比上年预算增加59.57万元，增长4.22%。主要原因是：因人员岗位调整，新进2人，故工资津贴增加。</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项目支出423.15万元，比上年预算增加423.15万元，增长100.00%。主要原因是：2022年年初预算时，未将上级转移支付资金纳入预算数，2023年将上级转移支付资金纳入年初预算。</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highlight w:val="none"/>
        </w:rPr>
      </w:pPr>
      <w:r>
        <w:rPr>
          <w:rFonts w:hint="eastAsia" w:ascii="楷体_GB2312" w:hAnsi="楷体_GB2312" w:eastAsia="楷体_GB2312" w:cs="楷体_GB2312"/>
          <w:b/>
          <w:bCs/>
          <w:position w:val="2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1.教育支出（类）1895.49万元，占100.00%。</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highlight w:val="none"/>
        </w:rPr>
      </w:pPr>
      <w:r>
        <w:rPr>
          <w:rFonts w:hint="eastAsia" w:ascii="楷体_GB2312" w:hAnsi="楷体_GB2312" w:eastAsia="楷体_GB2312" w:cs="楷体_GB2312"/>
          <w:b/>
          <w:bCs/>
          <w:position w:val="20"/>
          <w:sz w:val="32"/>
          <w:szCs w:val="32"/>
          <w:highlight w:val="none"/>
        </w:rPr>
        <w:t>（</w:t>
      </w:r>
      <w:r>
        <w:rPr>
          <w:rFonts w:hint="eastAsia" w:ascii="楷体_GB2312" w:hAnsi="楷体_GB2312" w:eastAsia="楷体_GB2312" w:cs="楷体_GB2312"/>
          <w:b/>
          <w:bCs/>
          <w:position w:val="2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1.教育支出（类）普通教育（款）小学教育（项）:2023年预算数为1895.49万元，比上年预算数增加482.72万元，增长34.17%，主要原因是：因人员岗位调整，新进2人，故工资津贴增加、2022年年初预算时，未将上级转移支付资金纳入预算数，2023年将上级转移支付资金纳入年初预算。</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highlight w:val="none"/>
        </w:rPr>
      </w:pPr>
      <w:r>
        <w:rPr>
          <w:rFonts w:ascii="黑体" w:hAnsi="黑体" w:eastAsia="黑体" w:cs="黑体"/>
          <w:position w:val="20"/>
          <w:sz w:val="32"/>
          <w:szCs w:val="32"/>
          <w:highlight w:val="none"/>
        </w:rPr>
        <w:t>六、关于皮山县皮西那乡中心小学2023年一般公共预算基本支出情况说明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皮山县皮西那乡中心小学2023年一般公共预算基本支出1472.34万元，其中：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人员经费1472.34万元，主要包括：基本工资、津贴补贴、奖金、绩效工资、机关事业单位基本养老保险缴费、职业年金缴费、城镇职工基本医疗保险缴费、其他社会保障缴费、住房公积金、退休费、生活补助。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公用经费0万元，主要包括：无。</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highlight w:val="none"/>
        </w:rPr>
      </w:pPr>
      <w:r>
        <w:rPr>
          <w:rFonts w:ascii="黑体" w:hAnsi="黑体" w:eastAsia="黑体" w:cs="黑体"/>
          <w:position w:val="20"/>
          <w:sz w:val="32"/>
          <w:szCs w:val="32"/>
          <w:highlight w:val="none"/>
        </w:rPr>
        <w:t>七、关于皮山县皮西那乡中心小学2023年一般公共预算项目支出情况说明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1.项目名称：2023年城乡义务教育补助经费-特殊教育补助和地财教</w:t>
      </w:r>
      <w:r>
        <w:rPr>
          <w:rFonts w:hint="eastAsia" w:ascii="仿宋" w:hAnsi="仿宋" w:eastAsia="仿宋" w:cs="仿宋"/>
          <w:position w:val="10"/>
          <w:sz w:val="32"/>
          <w:szCs w:val="32"/>
          <w:highlight w:val="none"/>
          <w:lang w:eastAsia="zh-CN"/>
        </w:rPr>
        <w:t>〔2022〕75号</w:t>
      </w:r>
      <w:r>
        <w:rPr>
          <w:rFonts w:ascii="仿宋" w:hAnsi="仿宋" w:eastAsia="仿宋" w:cs="仿宋"/>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设立的政策依据：和地财教</w:t>
      </w:r>
      <w:r>
        <w:rPr>
          <w:rFonts w:hint="eastAsia" w:ascii="仿宋" w:hAnsi="仿宋" w:eastAsia="仿宋" w:cs="仿宋"/>
          <w:position w:val="10"/>
          <w:sz w:val="32"/>
          <w:szCs w:val="32"/>
          <w:highlight w:val="none"/>
          <w:lang w:eastAsia="zh-CN"/>
        </w:rPr>
        <w:t>〔2022〕75号</w:t>
      </w:r>
      <w:r>
        <w:rPr>
          <w:rFonts w:ascii="仿宋" w:hAnsi="仿宋" w:eastAsia="仿宋" w:cs="仿宋"/>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预算安排规模：0.73万元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项目承担单位：皮山县皮西那乡中心小学。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资金执行时间：2023</w:t>
      </w:r>
      <w:r>
        <w:rPr>
          <w:rFonts w:hint="eastAsia" w:ascii="仿宋" w:hAnsi="仿宋" w:eastAsia="仿宋" w:cs="仿宋"/>
          <w:position w:val="10"/>
          <w:sz w:val="32"/>
          <w:szCs w:val="32"/>
          <w:highlight w:val="none"/>
          <w:lang w:val="en-US" w:eastAsia="zh-CN"/>
        </w:rPr>
        <w:t>年1月1日</w:t>
      </w:r>
      <w:r>
        <w:rPr>
          <w:rFonts w:hint="eastAsia" w:ascii="仿宋" w:hAnsi="仿宋" w:eastAsia="仿宋" w:cs="仿宋"/>
          <w:position w:val="10"/>
          <w:sz w:val="32"/>
          <w:szCs w:val="32"/>
          <w:highlight w:val="none"/>
          <w:lang w:eastAsia="zh-CN"/>
        </w:rPr>
        <w:t>—</w:t>
      </w:r>
      <w:r>
        <w:rPr>
          <w:rFonts w:hint="eastAsia" w:ascii="仿宋" w:hAnsi="仿宋" w:eastAsia="仿宋" w:cs="仿宋"/>
          <w:position w:val="10"/>
          <w:sz w:val="32"/>
          <w:szCs w:val="32"/>
          <w:highlight w:val="none"/>
          <w:lang w:val="en-US" w:eastAsia="zh-CN"/>
        </w:rPr>
        <w:t>2023年12月31日</w:t>
      </w:r>
      <w:r>
        <w:rPr>
          <w:rFonts w:ascii="仿宋" w:hAnsi="仿宋" w:eastAsia="仿宋" w:cs="仿宋"/>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2.项目名称：2023年城乡义务教育补助经费-特殊教育补助和地财教</w:t>
      </w:r>
      <w:r>
        <w:rPr>
          <w:rFonts w:hint="eastAsia" w:ascii="仿宋" w:hAnsi="仿宋" w:eastAsia="仿宋" w:cs="仿宋"/>
          <w:position w:val="10"/>
          <w:sz w:val="32"/>
          <w:szCs w:val="32"/>
          <w:highlight w:val="none"/>
          <w:lang w:eastAsia="zh-CN"/>
        </w:rPr>
        <w:t>〔2022〕70号</w:t>
      </w:r>
      <w:r>
        <w:rPr>
          <w:rFonts w:ascii="仿宋" w:hAnsi="仿宋" w:eastAsia="仿宋" w:cs="仿宋"/>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设立的政策依据：和地财教</w:t>
      </w:r>
      <w:r>
        <w:rPr>
          <w:rFonts w:hint="eastAsia" w:ascii="仿宋" w:hAnsi="仿宋" w:eastAsia="仿宋" w:cs="仿宋"/>
          <w:position w:val="10"/>
          <w:sz w:val="32"/>
          <w:szCs w:val="32"/>
          <w:highlight w:val="none"/>
          <w:lang w:eastAsia="zh-CN"/>
        </w:rPr>
        <w:t>〔2022〕70号</w:t>
      </w:r>
      <w:r>
        <w:rPr>
          <w:rFonts w:ascii="仿宋" w:hAnsi="仿宋" w:eastAsia="仿宋" w:cs="仿宋"/>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预算安排规模：3.36万元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项目承担单位：皮山县皮西那乡中心小学。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资金执行时间：2023</w:t>
      </w:r>
      <w:r>
        <w:rPr>
          <w:rFonts w:hint="eastAsia" w:ascii="仿宋" w:hAnsi="仿宋" w:eastAsia="仿宋" w:cs="仿宋"/>
          <w:position w:val="10"/>
          <w:sz w:val="32"/>
          <w:szCs w:val="32"/>
          <w:highlight w:val="none"/>
          <w:lang w:val="en-US" w:eastAsia="zh-CN"/>
        </w:rPr>
        <w:t>年1月1日</w:t>
      </w:r>
      <w:r>
        <w:rPr>
          <w:rFonts w:hint="eastAsia" w:ascii="仿宋" w:hAnsi="仿宋" w:eastAsia="仿宋" w:cs="仿宋"/>
          <w:position w:val="10"/>
          <w:sz w:val="32"/>
          <w:szCs w:val="32"/>
          <w:highlight w:val="none"/>
          <w:lang w:eastAsia="zh-CN"/>
        </w:rPr>
        <w:t>—</w:t>
      </w:r>
      <w:r>
        <w:rPr>
          <w:rFonts w:hint="eastAsia" w:ascii="仿宋" w:hAnsi="仿宋" w:eastAsia="仿宋" w:cs="仿宋"/>
          <w:position w:val="10"/>
          <w:sz w:val="32"/>
          <w:szCs w:val="32"/>
          <w:highlight w:val="none"/>
          <w:lang w:val="en-US" w:eastAsia="zh-CN"/>
        </w:rPr>
        <w:t>2023年12月31日</w:t>
      </w:r>
      <w:r>
        <w:rPr>
          <w:rFonts w:ascii="仿宋" w:hAnsi="仿宋" w:eastAsia="仿宋" w:cs="仿宋"/>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3.项目名称：2023年城乡义务教育补助经费-教师工资性补助和地财教</w:t>
      </w:r>
      <w:r>
        <w:rPr>
          <w:rFonts w:hint="eastAsia" w:ascii="仿宋" w:hAnsi="仿宋" w:eastAsia="仿宋" w:cs="仿宋"/>
          <w:position w:val="10"/>
          <w:sz w:val="32"/>
          <w:szCs w:val="32"/>
          <w:highlight w:val="none"/>
          <w:lang w:eastAsia="zh-CN"/>
        </w:rPr>
        <w:t>〔2022〕70号</w:t>
      </w:r>
      <w:r>
        <w:rPr>
          <w:rFonts w:ascii="仿宋" w:hAnsi="仿宋" w:eastAsia="仿宋" w:cs="仿宋"/>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设立的政策依据：和地财教</w:t>
      </w:r>
      <w:r>
        <w:rPr>
          <w:rFonts w:hint="eastAsia" w:ascii="仿宋" w:hAnsi="仿宋" w:eastAsia="仿宋" w:cs="仿宋"/>
          <w:position w:val="10"/>
          <w:sz w:val="32"/>
          <w:szCs w:val="32"/>
          <w:highlight w:val="none"/>
          <w:lang w:eastAsia="zh-CN"/>
        </w:rPr>
        <w:t>〔2022〕70号</w:t>
      </w:r>
      <w:r>
        <w:rPr>
          <w:rFonts w:ascii="仿宋" w:hAnsi="仿宋" w:eastAsia="仿宋" w:cs="仿宋"/>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预算安排规模：69.57万元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项目承担单位：皮山县皮西那乡中心小学。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资金执行时间：2023</w:t>
      </w:r>
      <w:r>
        <w:rPr>
          <w:rFonts w:hint="eastAsia" w:ascii="仿宋" w:hAnsi="仿宋" w:eastAsia="仿宋" w:cs="仿宋"/>
          <w:position w:val="10"/>
          <w:sz w:val="32"/>
          <w:szCs w:val="32"/>
          <w:highlight w:val="none"/>
          <w:lang w:val="en-US" w:eastAsia="zh-CN"/>
        </w:rPr>
        <w:t>年1月1日</w:t>
      </w:r>
      <w:r>
        <w:rPr>
          <w:rFonts w:hint="eastAsia" w:ascii="仿宋" w:hAnsi="仿宋" w:eastAsia="仿宋" w:cs="仿宋"/>
          <w:position w:val="10"/>
          <w:sz w:val="32"/>
          <w:szCs w:val="32"/>
          <w:highlight w:val="none"/>
          <w:lang w:eastAsia="zh-CN"/>
        </w:rPr>
        <w:t>—</w:t>
      </w:r>
      <w:r>
        <w:rPr>
          <w:rFonts w:hint="eastAsia" w:ascii="仿宋" w:hAnsi="仿宋" w:eastAsia="仿宋" w:cs="仿宋"/>
          <w:position w:val="10"/>
          <w:sz w:val="32"/>
          <w:szCs w:val="32"/>
          <w:highlight w:val="none"/>
          <w:lang w:val="en-US" w:eastAsia="zh-CN"/>
        </w:rPr>
        <w:t>2023年12月31日</w:t>
      </w:r>
      <w:r>
        <w:rPr>
          <w:rFonts w:ascii="仿宋" w:hAnsi="仿宋" w:eastAsia="仿宋" w:cs="仿宋"/>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4.项目名称：2023年城乡义务教育补助经费-公用经费和地财教</w:t>
      </w:r>
      <w:r>
        <w:rPr>
          <w:rFonts w:hint="eastAsia" w:ascii="仿宋" w:hAnsi="仿宋" w:eastAsia="仿宋" w:cs="仿宋"/>
          <w:position w:val="10"/>
          <w:sz w:val="32"/>
          <w:szCs w:val="32"/>
          <w:highlight w:val="none"/>
          <w:lang w:eastAsia="zh-CN"/>
        </w:rPr>
        <w:t>〔2022〕75号</w:t>
      </w:r>
      <w:r>
        <w:rPr>
          <w:rFonts w:ascii="仿宋" w:hAnsi="仿宋" w:eastAsia="仿宋" w:cs="仿宋"/>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设立的政策依据：和地财教</w:t>
      </w:r>
      <w:r>
        <w:rPr>
          <w:rFonts w:hint="eastAsia" w:ascii="仿宋" w:hAnsi="仿宋" w:eastAsia="仿宋" w:cs="仿宋"/>
          <w:position w:val="10"/>
          <w:sz w:val="32"/>
          <w:szCs w:val="32"/>
          <w:highlight w:val="none"/>
          <w:lang w:eastAsia="zh-CN"/>
        </w:rPr>
        <w:t>〔2022〕75号</w:t>
      </w:r>
      <w:r>
        <w:rPr>
          <w:rFonts w:ascii="仿宋" w:hAnsi="仿宋" w:eastAsia="仿宋" w:cs="仿宋"/>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预算安排规模：22.39万元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项目承担单位：皮山县皮西那乡中心小学。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资金执行时间：2023</w:t>
      </w:r>
      <w:r>
        <w:rPr>
          <w:rFonts w:hint="eastAsia" w:ascii="仿宋" w:hAnsi="仿宋" w:eastAsia="仿宋" w:cs="仿宋"/>
          <w:position w:val="10"/>
          <w:sz w:val="32"/>
          <w:szCs w:val="32"/>
          <w:highlight w:val="none"/>
          <w:lang w:val="en-US" w:eastAsia="zh-CN"/>
        </w:rPr>
        <w:t>年1月1日</w:t>
      </w:r>
      <w:r>
        <w:rPr>
          <w:rFonts w:hint="eastAsia" w:ascii="仿宋" w:hAnsi="仿宋" w:eastAsia="仿宋" w:cs="仿宋"/>
          <w:position w:val="10"/>
          <w:sz w:val="32"/>
          <w:szCs w:val="32"/>
          <w:highlight w:val="none"/>
          <w:lang w:eastAsia="zh-CN"/>
        </w:rPr>
        <w:t>—</w:t>
      </w:r>
      <w:r>
        <w:rPr>
          <w:rFonts w:hint="eastAsia" w:ascii="仿宋" w:hAnsi="仿宋" w:eastAsia="仿宋" w:cs="仿宋"/>
          <w:position w:val="10"/>
          <w:sz w:val="32"/>
          <w:szCs w:val="32"/>
          <w:highlight w:val="none"/>
          <w:lang w:val="en-US" w:eastAsia="zh-CN"/>
        </w:rPr>
        <w:t>2023年12月31日</w:t>
      </w:r>
      <w:r>
        <w:rPr>
          <w:rFonts w:ascii="仿宋" w:hAnsi="仿宋" w:eastAsia="仿宋" w:cs="仿宋"/>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5.项目名称：2023年城乡义务教育补助经费-公用经费和地财教</w:t>
      </w:r>
      <w:r>
        <w:rPr>
          <w:rFonts w:hint="eastAsia" w:ascii="仿宋" w:hAnsi="仿宋" w:eastAsia="仿宋" w:cs="仿宋"/>
          <w:position w:val="10"/>
          <w:sz w:val="32"/>
          <w:szCs w:val="32"/>
          <w:highlight w:val="none"/>
          <w:lang w:eastAsia="zh-CN"/>
        </w:rPr>
        <w:t>〔2022〕70号</w:t>
      </w:r>
      <w:r>
        <w:rPr>
          <w:rFonts w:ascii="仿宋" w:hAnsi="仿宋" w:eastAsia="仿宋" w:cs="仿宋"/>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设立的政策依据：和地财教</w:t>
      </w:r>
      <w:r>
        <w:rPr>
          <w:rFonts w:hint="eastAsia" w:ascii="仿宋" w:hAnsi="仿宋" w:eastAsia="仿宋" w:cs="仿宋"/>
          <w:position w:val="10"/>
          <w:sz w:val="32"/>
          <w:szCs w:val="32"/>
          <w:highlight w:val="none"/>
          <w:lang w:eastAsia="zh-CN"/>
        </w:rPr>
        <w:t>〔2022〕70号</w:t>
      </w:r>
      <w:r>
        <w:rPr>
          <w:rFonts w:ascii="仿宋" w:hAnsi="仿宋" w:eastAsia="仿宋" w:cs="仿宋"/>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预算安排规模：105.73万元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项目承担单位：皮山县皮西那乡中心小学。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资金执行时间：2023</w:t>
      </w:r>
      <w:r>
        <w:rPr>
          <w:rFonts w:hint="eastAsia" w:ascii="仿宋" w:hAnsi="仿宋" w:eastAsia="仿宋" w:cs="仿宋"/>
          <w:position w:val="10"/>
          <w:sz w:val="32"/>
          <w:szCs w:val="32"/>
          <w:highlight w:val="none"/>
          <w:lang w:val="en-US" w:eastAsia="zh-CN"/>
        </w:rPr>
        <w:t>年1月1日</w:t>
      </w:r>
      <w:r>
        <w:rPr>
          <w:rFonts w:hint="eastAsia" w:ascii="仿宋" w:hAnsi="仿宋" w:eastAsia="仿宋" w:cs="仿宋"/>
          <w:position w:val="10"/>
          <w:sz w:val="32"/>
          <w:szCs w:val="32"/>
          <w:highlight w:val="none"/>
          <w:lang w:eastAsia="zh-CN"/>
        </w:rPr>
        <w:t>—</w:t>
      </w:r>
      <w:r>
        <w:rPr>
          <w:rFonts w:hint="eastAsia" w:ascii="仿宋" w:hAnsi="仿宋" w:eastAsia="仿宋" w:cs="仿宋"/>
          <w:position w:val="10"/>
          <w:sz w:val="32"/>
          <w:szCs w:val="32"/>
          <w:highlight w:val="none"/>
          <w:lang w:val="en-US" w:eastAsia="zh-CN"/>
        </w:rPr>
        <w:t>2023年12月31日</w:t>
      </w:r>
      <w:r>
        <w:rPr>
          <w:rFonts w:ascii="仿宋" w:hAnsi="仿宋" w:eastAsia="仿宋" w:cs="仿宋"/>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6.项目名称：2023年城乡义务教育补助经费-农村学生营养改善补助和地财教</w:t>
      </w:r>
      <w:r>
        <w:rPr>
          <w:rFonts w:hint="eastAsia" w:ascii="仿宋" w:hAnsi="仿宋" w:eastAsia="仿宋" w:cs="仿宋"/>
          <w:position w:val="10"/>
          <w:sz w:val="32"/>
          <w:szCs w:val="32"/>
          <w:highlight w:val="none"/>
          <w:lang w:eastAsia="zh-CN"/>
        </w:rPr>
        <w:t>〔2022〕70号</w:t>
      </w:r>
      <w:r>
        <w:rPr>
          <w:rFonts w:ascii="仿宋" w:hAnsi="仿宋" w:eastAsia="仿宋" w:cs="仿宋"/>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设立的政策依据：和地财教</w:t>
      </w:r>
      <w:r>
        <w:rPr>
          <w:rFonts w:hint="eastAsia" w:ascii="仿宋" w:hAnsi="仿宋" w:eastAsia="仿宋" w:cs="仿宋"/>
          <w:position w:val="10"/>
          <w:sz w:val="32"/>
          <w:szCs w:val="32"/>
          <w:highlight w:val="none"/>
          <w:lang w:eastAsia="zh-CN"/>
        </w:rPr>
        <w:t>〔2022〕70号</w:t>
      </w:r>
      <w:r>
        <w:rPr>
          <w:rFonts w:ascii="仿宋" w:hAnsi="仿宋" w:eastAsia="仿宋" w:cs="仿宋"/>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预算安排规模：139.61万元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项目承担单位：皮山县皮西那乡中心小学。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资金执行时间：2023</w:t>
      </w:r>
      <w:r>
        <w:rPr>
          <w:rFonts w:hint="eastAsia" w:ascii="仿宋" w:hAnsi="仿宋" w:eastAsia="仿宋" w:cs="仿宋"/>
          <w:position w:val="10"/>
          <w:sz w:val="32"/>
          <w:szCs w:val="32"/>
          <w:highlight w:val="none"/>
          <w:lang w:val="en-US" w:eastAsia="zh-CN"/>
        </w:rPr>
        <w:t>年1月1日</w:t>
      </w:r>
      <w:r>
        <w:rPr>
          <w:rFonts w:hint="eastAsia" w:ascii="仿宋" w:hAnsi="仿宋" w:eastAsia="仿宋" w:cs="仿宋"/>
          <w:position w:val="10"/>
          <w:sz w:val="32"/>
          <w:szCs w:val="32"/>
          <w:highlight w:val="none"/>
          <w:lang w:eastAsia="zh-CN"/>
        </w:rPr>
        <w:t>—</w:t>
      </w:r>
      <w:r>
        <w:rPr>
          <w:rFonts w:hint="eastAsia" w:ascii="仿宋" w:hAnsi="仿宋" w:eastAsia="仿宋" w:cs="仿宋"/>
          <w:position w:val="10"/>
          <w:sz w:val="32"/>
          <w:szCs w:val="32"/>
          <w:highlight w:val="none"/>
          <w:lang w:val="en-US" w:eastAsia="zh-CN"/>
        </w:rPr>
        <w:t>2023年12月31日</w:t>
      </w:r>
      <w:r>
        <w:rPr>
          <w:rFonts w:ascii="仿宋" w:hAnsi="仿宋" w:eastAsia="仿宋" w:cs="仿宋"/>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资金来源：上级一般转移支付资金。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补贴人数：1660。</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补贴标准：1000元/人/年。</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补贴范围：全部学生。</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补贴方式：每日午餐。</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发放程序：学校食堂就餐。</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受益人群和社会效益：改善学生营养</w:t>
      </w:r>
      <w:r>
        <w:rPr>
          <w:rFonts w:hint="eastAsia" w:ascii="仿宋" w:hAnsi="仿宋" w:eastAsia="仿宋" w:cs="仿宋"/>
          <w:position w:val="10"/>
          <w:sz w:val="32"/>
          <w:szCs w:val="32"/>
          <w:highlight w:val="none"/>
          <w:lang w:eastAsia="zh-CN"/>
        </w:rPr>
        <w:t>膳食</w:t>
      </w:r>
      <w:r>
        <w:rPr>
          <w:rFonts w:ascii="仿宋" w:hAnsi="仿宋" w:eastAsia="仿宋" w:cs="仿宋"/>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7.项目名称：2023年城乡义务教育补助经费-家庭经济困难学生生活补助和地财教</w:t>
      </w:r>
      <w:r>
        <w:rPr>
          <w:rFonts w:hint="eastAsia" w:ascii="仿宋" w:hAnsi="仿宋" w:eastAsia="仿宋" w:cs="仿宋"/>
          <w:position w:val="10"/>
          <w:sz w:val="32"/>
          <w:szCs w:val="32"/>
          <w:highlight w:val="none"/>
          <w:lang w:eastAsia="zh-CN"/>
        </w:rPr>
        <w:t>〔2022〕70号</w:t>
      </w:r>
      <w:r>
        <w:rPr>
          <w:rFonts w:ascii="仿宋" w:hAnsi="仿宋" w:eastAsia="仿宋" w:cs="仿宋"/>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设立的政策依据：和地财教</w:t>
      </w:r>
      <w:r>
        <w:rPr>
          <w:rFonts w:hint="eastAsia" w:ascii="仿宋" w:hAnsi="仿宋" w:eastAsia="仿宋" w:cs="仿宋"/>
          <w:position w:val="10"/>
          <w:sz w:val="32"/>
          <w:szCs w:val="32"/>
          <w:highlight w:val="none"/>
          <w:lang w:eastAsia="zh-CN"/>
        </w:rPr>
        <w:t>〔2022〕70号</w:t>
      </w:r>
      <w:r>
        <w:rPr>
          <w:rFonts w:ascii="仿宋" w:hAnsi="仿宋" w:eastAsia="仿宋" w:cs="仿宋"/>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预算安排规模：41.76万元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项目承担单位：皮山县皮西那乡中心小学。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资金执行时间：2023</w:t>
      </w:r>
      <w:r>
        <w:rPr>
          <w:rFonts w:hint="eastAsia" w:ascii="仿宋" w:hAnsi="仿宋" w:eastAsia="仿宋" w:cs="仿宋"/>
          <w:position w:val="10"/>
          <w:sz w:val="32"/>
          <w:szCs w:val="32"/>
          <w:highlight w:val="none"/>
          <w:lang w:val="en-US" w:eastAsia="zh-CN"/>
        </w:rPr>
        <w:t>年1月1日</w:t>
      </w:r>
      <w:r>
        <w:rPr>
          <w:rFonts w:hint="eastAsia" w:ascii="仿宋" w:hAnsi="仿宋" w:eastAsia="仿宋" w:cs="仿宋"/>
          <w:position w:val="10"/>
          <w:sz w:val="32"/>
          <w:szCs w:val="32"/>
          <w:highlight w:val="none"/>
          <w:lang w:eastAsia="zh-CN"/>
        </w:rPr>
        <w:t>—</w:t>
      </w:r>
      <w:r>
        <w:rPr>
          <w:rFonts w:hint="eastAsia" w:ascii="仿宋" w:hAnsi="仿宋" w:eastAsia="仿宋" w:cs="仿宋"/>
          <w:position w:val="10"/>
          <w:sz w:val="32"/>
          <w:szCs w:val="32"/>
          <w:highlight w:val="none"/>
          <w:lang w:val="en-US" w:eastAsia="zh-CN"/>
        </w:rPr>
        <w:t>2023年12月31日</w:t>
      </w:r>
      <w:r>
        <w:rPr>
          <w:rFonts w:ascii="仿宋" w:hAnsi="仿宋" w:eastAsia="仿宋" w:cs="仿宋"/>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资金来源：上级一般转移支付资金。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补贴人数：710。</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补贴标准：1250元/人/年。</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补贴范围：在校住宿生。</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补贴方式：每日早餐和晚餐。</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发放程序：学校食堂就餐。</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受益人群和社会效益：改善在校住宿生伙食。</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8.项目名称：2023年城乡义务教育补助经费-家庭经济困难学生生活补助和地财教</w:t>
      </w:r>
      <w:r>
        <w:rPr>
          <w:rFonts w:hint="eastAsia" w:ascii="仿宋" w:hAnsi="仿宋" w:eastAsia="仿宋" w:cs="仿宋"/>
          <w:position w:val="10"/>
          <w:sz w:val="32"/>
          <w:szCs w:val="32"/>
          <w:highlight w:val="none"/>
          <w:lang w:eastAsia="zh-CN"/>
        </w:rPr>
        <w:t>〔2022〕75号</w:t>
      </w:r>
      <w:r>
        <w:rPr>
          <w:rFonts w:ascii="仿宋" w:hAnsi="仿宋" w:eastAsia="仿宋" w:cs="仿宋"/>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设立的政策依据：和地财教</w:t>
      </w:r>
      <w:r>
        <w:rPr>
          <w:rFonts w:hint="eastAsia" w:ascii="仿宋" w:hAnsi="仿宋" w:eastAsia="仿宋" w:cs="仿宋"/>
          <w:position w:val="10"/>
          <w:sz w:val="32"/>
          <w:szCs w:val="32"/>
          <w:highlight w:val="none"/>
          <w:lang w:eastAsia="zh-CN"/>
        </w:rPr>
        <w:t>〔2022〕75号</w:t>
      </w:r>
      <w:r>
        <w:rPr>
          <w:rFonts w:ascii="仿宋" w:hAnsi="仿宋" w:eastAsia="仿宋" w:cs="仿宋"/>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预算安排规模：40.00万元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项目承担单位：皮山县皮西那乡中心小学。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资金执行时间：2023</w:t>
      </w:r>
      <w:r>
        <w:rPr>
          <w:rFonts w:hint="eastAsia" w:ascii="仿宋" w:hAnsi="仿宋" w:eastAsia="仿宋" w:cs="仿宋"/>
          <w:position w:val="10"/>
          <w:sz w:val="32"/>
          <w:szCs w:val="32"/>
          <w:highlight w:val="none"/>
          <w:lang w:val="en-US" w:eastAsia="zh-CN"/>
        </w:rPr>
        <w:t>年1月1日</w:t>
      </w:r>
      <w:r>
        <w:rPr>
          <w:rFonts w:hint="eastAsia" w:ascii="仿宋" w:hAnsi="仿宋" w:eastAsia="仿宋" w:cs="仿宋"/>
          <w:position w:val="10"/>
          <w:sz w:val="32"/>
          <w:szCs w:val="32"/>
          <w:highlight w:val="none"/>
          <w:lang w:eastAsia="zh-CN"/>
        </w:rPr>
        <w:t>—</w:t>
      </w:r>
      <w:r>
        <w:rPr>
          <w:rFonts w:hint="eastAsia" w:ascii="仿宋" w:hAnsi="仿宋" w:eastAsia="仿宋" w:cs="仿宋"/>
          <w:position w:val="10"/>
          <w:sz w:val="32"/>
          <w:szCs w:val="32"/>
          <w:highlight w:val="none"/>
          <w:lang w:val="en-US" w:eastAsia="zh-CN"/>
        </w:rPr>
        <w:t>2023年12月31日</w:t>
      </w:r>
      <w:r>
        <w:rPr>
          <w:rFonts w:ascii="仿宋" w:hAnsi="仿宋" w:eastAsia="仿宋" w:cs="仿宋"/>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资金来源：上级一般转移支付资金。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补贴人数：710。</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补贴标准：1250元/人/年。</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补贴范围：在校住宿生。</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补贴方式：每日早餐和晚餐。</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发放程序：学校食堂就餐。</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受益人群和社会效益：改善在校住宿生伙食。</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highlight w:val="none"/>
        </w:rPr>
      </w:pPr>
      <w:r>
        <w:rPr>
          <w:rFonts w:ascii="黑体" w:hAnsi="黑体" w:eastAsia="黑体" w:cs="黑体"/>
          <w:position w:val="20"/>
          <w:sz w:val="32"/>
          <w:szCs w:val="32"/>
          <w:highlight w:val="none"/>
        </w:rPr>
        <w:t>八、关于皮山县皮西那乡中心小学2023年政府性基金预算拨款情况说明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皮山县皮西那乡中心小学2023年没有使用政府性基金预算拨款安排的支出，政府性基金预算支出情况表为空表。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highlight w:val="none"/>
        </w:rPr>
      </w:pPr>
      <w:r>
        <w:rPr>
          <w:rFonts w:ascii="黑体" w:hAnsi="黑体" w:eastAsia="黑体" w:cs="黑体"/>
          <w:position w:val="20"/>
          <w:sz w:val="32"/>
          <w:szCs w:val="32"/>
          <w:highlight w:val="none"/>
        </w:rPr>
        <w:t>九、关于皮山县皮西那乡中心小学2023年国有资本经营预算拨款情况说明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皮山县皮西那乡中心小学2023年没有使用国有资本经营预算拨款安排的支出，国有资本经营预算支出情况表为空表。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highlight w:val="none"/>
        </w:rPr>
      </w:pPr>
      <w:r>
        <w:rPr>
          <w:rFonts w:ascii="黑体" w:hAnsi="黑体" w:eastAsia="黑体" w:cs="黑体"/>
          <w:position w:val="20"/>
          <w:sz w:val="32"/>
          <w:szCs w:val="32"/>
          <w:highlight w:val="none"/>
        </w:rPr>
        <w:t>十、关于皮山县皮西那乡中心小学2023年财政拨款“三公”经费预算情况说明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皮山县皮西那乡中心小学2023年财政拨款“三公”经费数为0万元，其中：因公出国（境）费0万元，公务用车购置费0万元，公务用车运行费0万元，公务接待费0万元。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2023年财政拨款“三公”经费比上年预算增加0万元，增长0%，其中：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因公出国（境）费增加0万元，增长0%，主要原因是我校本年度与上年度均无“三公”经费。公务用车购置费增加0万元，增长0%，主要原因是我校本年度与上年度均无公务用车购置费。公务用车运行费增加0万元，增长0%，主要原因是我校本年度与上年度均无公务用车运行费。公务接待费增加0万元，增长0%，主要原因是我校本年度与上年度均无公务接待费。</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highlight w:val="none"/>
        </w:rPr>
      </w:pPr>
      <w:r>
        <w:rPr>
          <w:rFonts w:ascii="黑体" w:hAnsi="黑体" w:eastAsia="黑体" w:cs="黑体"/>
          <w:position w:val="20"/>
          <w:sz w:val="32"/>
          <w:szCs w:val="32"/>
          <w:highlight w:val="none"/>
        </w:rPr>
        <w:t>十一、其他重要事项的情况说明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highlight w:val="none"/>
        </w:rPr>
      </w:pPr>
      <w:r>
        <w:rPr>
          <w:rFonts w:hint="eastAsia" w:ascii="楷体_GB2312" w:hAnsi="楷体_GB2312" w:eastAsia="楷体_GB2312" w:cs="楷体_GB2312"/>
          <w:b/>
          <w:bCs/>
          <w:position w:val="20"/>
          <w:sz w:val="32"/>
          <w:szCs w:val="32"/>
          <w:highlight w:val="none"/>
        </w:rPr>
        <w:t>（一）机关运行经费情况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2023年，皮山县皮西那乡中心小学本级及下属0家行政单位和0家事业单位的机关运行经费财政拨款预算0万元，比上年预算增加0万元，增长0%。主要原因是未安排机关运行经费支出。</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sz w:val="32"/>
          <w:szCs w:val="32"/>
          <w:highlight w:val="none"/>
        </w:rPr>
      </w:pPr>
      <w:r>
        <w:rPr>
          <w:rFonts w:hint="eastAsia" w:ascii="楷体_GB2312" w:hAnsi="楷体_GB2312" w:eastAsia="楷体_GB2312" w:cs="楷体_GB2312"/>
          <w:b/>
          <w:bCs/>
          <w:position w:val="2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2023年，皮山县皮西那乡中心小学政府采购预算0万元，其中：政府采购货物预算0万元，政府采购工程预算0万元，政府采购服务预算0万元。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2023年度本单位面向中小企业预留政府采购项目预算金额0万元，其中：面向小微企业预留政府采购项目预算金额0万元。</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highlight w:val="none"/>
        </w:rPr>
      </w:pPr>
      <w:r>
        <w:rPr>
          <w:rFonts w:hint="eastAsia" w:ascii="楷体_GB2312" w:hAnsi="楷体_GB2312" w:eastAsia="楷体_GB2312" w:cs="楷体_GB2312"/>
          <w:b/>
          <w:bCs/>
          <w:position w:val="2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截至2022年底，皮山县皮西那乡中心小学及下属各预算单位占用使用国有资产总体情况为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1.房屋0平方米，价值0万元。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2.车辆0辆，价值0.00万元；其中：一般公务用车0辆，价值0万元；执法执勤用车0辆，价值0万元；其他车辆0辆，价值0万元。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3.办公家具价值0万元。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4.其他资产价值0万元。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单位价值50万元以上大型设备0台（套），单位价值100万元以上大型设备0台（套）。</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2023年单位预算安排购置车辆经费0万元，安排购置50万元以上大型设备0台（套），单位价值100万元以上大型设备0台（套）。</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highlight w:val="none"/>
        </w:rPr>
      </w:pPr>
      <w:r>
        <w:rPr>
          <w:rFonts w:hint="eastAsia" w:ascii="楷体_GB2312" w:hAnsi="楷体_GB2312" w:eastAsia="楷体_GB2312" w:cs="楷体_GB2312"/>
          <w:b/>
          <w:bCs/>
          <w:position w:val="20"/>
          <w:sz w:val="32"/>
          <w:szCs w:val="32"/>
          <w:highlight w:val="none"/>
        </w:rPr>
        <w:t>（四）预算绩效情况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highlight w:val="none"/>
        </w:rPr>
      </w:pPr>
      <w:r>
        <w:rPr>
          <w:rFonts w:ascii="仿宋" w:hAnsi="仿宋" w:eastAsia="仿宋" w:cs="仿宋"/>
          <w:position w:val="10"/>
          <w:sz w:val="32"/>
          <w:szCs w:val="32"/>
          <w:highlight w:val="none"/>
        </w:rPr>
        <w:t>2023年，本年度预算绩效管理的财政拨款项目0个，涉及预算金额0万元；非财政拨款项目0个，涉及预算金额0万元。</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highlight w:val="none"/>
        </w:rPr>
      </w:pPr>
      <w:r>
        <w:rPr>
          <w:rFonts w:hint="eastAsia" w:ascii="楷体_GB2312" w:hAnsi="楷体_GB2312" w:eastAsia="楷体_GB2312" w:cs="楷体_GB2312"/>
          <w:b/>
          <w:bCs/>
          <w:position w:val="20"/>
          <w:sz w:val="32"/>
          <w:szCs w:val="32"/>
          <w:highlight w:val="none"/>
        </w:rPr>
        <w:t>（五）其他需说明的事项</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left"/>
        <w:textAlignment w:val="auto"/>
        <w:outlineLvl w:val="9"/>
        <w:rPr>
          <w:sz w:val="32"/>
          <w:szCs w:val="32"/>
          <w:highlight w:val="none"/>
        </w:rPr>
        <w:sectPr>
          <w:pgMar w:top="1440" w:right="1803" w:bottom="1440" w:left="1803" w:header="720" w:footer="720" w:gutter="0"/>
          <w:cols w:space="0" w:num="1"/>
          <w:rtlGutter w:val="0"/>
          <w:docGrid w:linePitch="0" w:charSpace="0"/>
        </w:sectPr>
      </w:pPr>
      <w:r>
        <w:rPr>
          <w:rFonts w:ascii="仿宋" w:hAnsi="仿宋" w:eastAsia="仿宋" w:cs="仿宋"/>
          <w:position w:val="10"/>
          <w:sz w:val="32"/>
          <w:szCs w:val="32"/>
          <w:highlight w:val="none"/>
        </w:rPr>
        <w:t>无其他需要说明的事项</w:t>
      </w:r>
      <w:r>
        <w:rPr>
          <w:rFonts w:hint="eastAsia" w:ascii="仿宋" w:hAnsi="仿宋" w:eastAsia="仿宋" w:cs="仿宋"/>
          <w:position w:val="10"/>
          <w:sz w:val="32"/>
          <w:szCs w:val="32"/>
          <w:highlight w:val="none"/>
          <w:lang w:eastAsia="zh-CN"/>
        </w:rPr>
        <w:t>。</w:t>
      </w:r>
      <w:r>
        <w:rPr>
          <w:sz w:val="32"/>
          <w:szCs w:val="32"/>
          <w:highlight w:val="none"/>
        </w:rPr>
        <w:br w:type="textWrapping"/>
      </w:r>
    </w:p>
    <w:p>
      <w:pPr>
        <w:ind w:left="200" w:right="200" w:firstLine="500"/>
        <w:jc w:val="center"/>
        <w:rPr>
          <w:highlight w:val="none"/>
        </w:rPr>
      </w:pPr>
      <w:r>
        <w:rPr>
          <w:rFonts w:ascii="黑体" w:hAnsi="黑体" w:eastAsia="黑体" w:cs="黑体"/>
          <w:position w:val="30"/>
          <w:sz w:val="42"/>
          <w:highlight w:val="none"/>
        </w:rPr>
        <w:t>第四部分名词解释</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一、财政拨款：</w:t>
      </w:r>
      <w:r>
        <w:rPr>
          <w:rFonts w:hint="eastAsia" w:ascii="仿宋" w:hAnsi="仿宋" w:eastAsia="仿宋" w:cs="仿宋"/>
          <w:position w:val="10"/>
          <w:sz w:val="32"/>
          <w:szCs w:val="32"/>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二、一般公共预算：</w:t>
      </w:r>
      <w:r>
        <w:rPr>
          <w:rFonts w:hint="eastAsia" w:ascii="仿宋" w:hAnsi="仿宋" w:eastAsia="仿宋" w:cs="仿宋"/>
          <w:position w:val="10"/>
          <w:sz w:val="32"/>
          <w:szCs w:val="32"/>
        </w:rPr>
        <w:t>包括公共财政拨款（补助）资金、专项收入。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三、财政专户管理资金：</w:t>
      </w:r>
      <w:r>
        <w:rPr>
          <w:rFonts w:hint="eastAsia" w:ascii="仿宋" w:hAnsi="仿宋" w:eastAsia="仿宋" w:cs="仿宋"/>
          <w:position w:val="10"/>
          <w:sz w:val="32"/>
          <w:szCs w:val="32"/>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四、其他资金：</w:t>
      </w:r>
      <w:r>
        <w:rPr>
          <w:rFonts w:hint="eastAsia" w:ascii="仿宋" w:hAnsi="仿宋" w:eastAsia="仿宋" w:cs="仿宋"/>
          <w:position w:val="10"/>
          <w:sz w:val="32"/>
          <w:szCs w:val="32"/>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五、基本支出：</w:t>
      </w:r>
      <w:r>
        <w:rPr>
          <w:rFonts w:hint="eastAsia" w:ascii="仿宋" w:hAnsi="仿宋" w:eastAsia="仿宋" w:cs="仿宋"/>
          <w:position w:val="10"/>
          <w:sz w:val="32"/>
          <w:szCs w:val="32"/>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六、项目支出：</w:t>
      </w:r>
      <w:r>
        <w:rPr>
          <w:rFonts w:hint="eastAsia" w:ascii="仿宋" w:hAnsi="仿宋" w:eastAsia="仿宋" w:cs="仿宋"/>
          <w:position w:val="10"/>
          <w:sz w:val="32"/>
          <w:szCs w:val="32"/>
        </w:rPr>
        <w:t>部门（单位）支出预算的组成部分，是各部门（单位）为完成其特定的行政任务或事业发展目标，在基本支出预算之外编制的年度项目支出计划。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七、“三公”经费：</w:t>
      </w:r>
      <w:r>
        <w:rPr>
          <w:rFonts w:hint="eastAsia" w:ascii="仿宋" w:hAnsi="仿宋" w:eastAsia="仿宋" w:cs="仿宋"/>
          <w:position w:val="1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八、机关运行经费：</w:t>
      </w:r>
      <w:r>
        <w:rPr>
          <w:rFonts w:hint="eastAsia" w:ascii="仿宋" w:hAnsi="仿宋" w:eastAsia="仿宋" w:cs="仿宋"/>
          <w:position w:val="10"/>
          <w:sz w:val="32"/>
          <w:szCs w:val="32"/>
        </w:rPr>
        <w:t>指各部门（单位）的公用经费，包括办公及印刷费、邮电费、差旅费、会议费、福利费、日常维修费、专用材料及一般设备购置费、办公用房水电费、办公用房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right"/>
        <w:textAlignment w:val="auto"/>
        <w:outlineLvl w:val="9"/>
        <w:rPr>
          <w:rFonts w:hint="eastAsia" w:ascii="仿宋" w:hAnsi="仿宋" w:eastAsia="仿宋" w:cs="仿宋"/>
          <w:position w:val="1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right"/>
        <w:textAlignment w:val="auto"/>
        <w:outlineLvl w:val="9"/>
        <w:rPr>
          <w:rFonts w:hint="eastAsia" w:ascii="仿宋" w:hAnsi="仿宋" w:eastAsia="仿宋" w:cs="仿宋"/>
          <w:position w:val="1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right"/>
        <w:textAlignment w:val="auto"/>
        <w:outlineLvl w:val="9"/>
        <w:rPr>
          <w:rFonts w:hint="eastAsia" w:ascii="仿宋" w:hAnsi="仿宋" w:eastAsia="仿宋" w:cs="仿宋"/>
          <w:position w:val="10"/>
          <w:sz w:val="32"/>
          <w:szCs w:val="32"/>
        </w:rPr>
      </w:pPr>
      <w:bookmarkStart w:id="0" w:name="_GoBack"/>
      <w:bookmarkEnd w:id="0"/>
      <w:r>
        <w:rPr>
          <w:rFonts w:hint="eastAsia" w:ascii="仿宋" w:hAnsi="仿宋" w:eastAsia="仿宋" w:cs="仿宋"/>
          <w:position w:val="10"/>
          <w:sz w:val="32"/>
          <w:szCs w:val="32"/>
        </w:rPr>
        <w:t>皮山县皮西那乡中心小学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right"/>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2023年1月</w:t>
      </w:r>
      <w:r>
        <w:rPr>
          <w:rFonts w:hint="eastAsia" w:ascii="仿宋" w:hAnsi="仿宋" w:eastAsia="仿宋" w:cs="仿宋"/>
          <w:position w:val="10"/>
          <w:sz w:val="32"/>
          <w:szCs w:val="32"/>
          <w:lang w:val="en-US" w:eastAsia="zh-CN"/>
        </w:rPr>
        <w:t>18</w:t>
      </w:r>
      <w:r>
        <w:rPr>
          <w:rFonts w:hint="eastAsia" w:ascii="仿宋" w:hAnsi="仿宋" w:eastAsia="仿宋" w:cs="仿宋"/>
          <w:position w:val="10"/>
          <w:sz w:val="32"/>
          <w:szCs w:val="32"/>
        </w:rPr>
        <w:t>日</w:t>
      </w:r>
    </w:p>
    <w:sectPr>
      <w:pgMar w:top="1440" w:right="1803" w:bottom="1440" w:left="1803" w:header="720" w:footer="720" w:gutter="0"/>
      <w:cols w:space="72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627CDB"/>
    <w:rsid w:val="21A8375C"/>
    <w:rsid w:val="384B556E"/>
    <w:rsid w:val="3DFF405F"/>
    <w:rsid w:val="5CD6753E"/>
    <w:rsid w:val="5D9B32C8"/>
    <w:rsid w:val="6DAB2840"/>
    <w:rsid w:val="710E2222"/>
    <w:rsid w:val="747D33D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2">
    <w:name w:val="heading 2"/>
    <w:basedOn w:val="1"/>
    <w:next w:val="1"/>
    <w:unhideWhenUsed/>
    <w:qFormat/>
    <w:uiPriority w:val="0"/>
    <w:pPr>
      <w:ind w:left="1277"/>
      <w:outlineLvl w:val="1"/>
    </w:pPr>
    <w:rPr>
      <w:rFonts w:ascii="仿宋_GB2312" w:hAnsi="仿宋_GB2312" w:eastAsia="仿宋_GB2312" w:cs="仿宋_GB2312"/>
      <w:b/>
      <w:bCs/>
      <w:sz w:val="32"/>
      <w:szCs w:val="32"/>
      <w:lang w:val="zh-CN" w:eastAsia="zh-CN" w:bidi="zh-CN"/>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customStyle="1" w:styleId="5">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27</Pages>
  <Words>1451</Words>
  <Characters>1615</Characters>
  <TotalTime>0</TotalTime>
  <ScaleCrop>false</ScaleCrop>
  <LinksUpToDate>false</LinksUpToDate>
  <CharactersWithSpaces>1723</CharactersWithSpaces>
  <Application>WPS Office_10.8.2.6837_F1E327BC-269C-435d-A152-05C5408002CA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2023-04-27T04:09:00Z</dcterms:created>
  <dc:creator>Apache POI</dc:creator>
  <cp:lastModifiedBy>Administrator</cp:lastModifiedBy>
  <dcterms:modified xsi:type="dcterms:W3CDTF">2025-07-24T05:20:58Z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1ECE93A26044462C9DC06C173477F2D1_13</vt:lpwstr>
  </property>
  <property fmtid="{D5CDD505-2E9C-101B-9397-08002B2CF9AE}" pid="4" name="KSOTemplateDocerSaveRecord">
    <vt:lpwstr>eyJoZGlkIjoiZmJiYzM4NGMxNTU2MDViMDQzMzBjNGQ5NThlMWYxNDciLCJ1c2VySWQiOiI5NTc2ODg5MzgifQ==</vt:lpwstr>
  </property>
</Properties>
</file>