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200" w:right="200"/>
        <w:jc w:val="center"/>
      </w:pP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br w:type="textWrapping"/>
      </w:r>
      <w:r>
        <w:rPr>
          <w:rFonts w:ascii="黑体" w:hAnsi="黑体" w:eastAsia="黑体" w:cs="黑体"/>
          <w:position w:val="30"/>
          <w:sz w:val="42"/>
        </w:rPr>
        <w:t>皮山县皮亚勒玛乡中心小学</w:t>
      </w:r>
    </w:p>
    <w:p>
      <w:pPr>
        <w:spacing w:before="150"/>
        <w:ind w:left="200" w:right="200"/>
        <w:jc w:val="center"/>
      </w:pPr>
      <w:r>
        <w:rPr>
          <w:rFonts w:ascii="黑体" w:hAnsi="黑体" w:eastAsia="黑体" w:cs="黑体"/>
          <w:position w:val="30"/>
          <w:sz w:val="42"/>
        </w:rPr>
        <w:t>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w:t>
      </w:r>
    </w:p>
    <w:p>
      <w:r>
        <w:br w:type="page"/>
      </w:r>
    </w:p>
    <w:p>
      <w:pPr>
        <w:jc w:val="center"/>
      </w:pPr>
      <w:r>
        <w:rPr>
          <w:rFonts w:ascii="黑体" w:hAnsi="黑体" w:eastAsia="黑体" w:cs="黑体"/>
          <w:position w:val="30"/>
          <w:sz w:val="42"/>
        </w:rPr>
        <w:t>目     录</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第一部分 皮山县皮亚勒玛乡中心小学单位概况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第二部分 2023年单位预算公开表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一、皮亚勒玛乡中心小学收支总体情况表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二、皮亚勒玛乡中心小学收入总体情况表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三、皮亚勒玛乡中心小学支出总体情况表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四、财政拨款收支预算总体情况表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五、一般公共预算支出情况表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六、一般公共预算基本支出情况表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七、一般公共预算项目支出情况表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八、政府性基金预算支出情况表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九、国有资本经营预算支出情况表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十、财政拨款“三公”经费支出情况表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第三部分 2023年单位预算情况说明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一、关于皮山县皮亚勒玛乡中心小学2023年收支预算情况的总体说明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二、关于皮山县皮亚勒玛乡中心小学2023年收入预算情况说明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三、关于皮山县皮亚勒玛乡中心小学2023年支出预算情况说明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四、关于皮山县皮亚勒玛乡中心小学2023年财政拨款收支预算情况的总体说明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五、关于皮山县皮亚勒玛乡中心小学2023年一般公共预算当年拨款情况说明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六、关于皮山县皮亚勒玛乡中心小学2023年一般公共预算基本支出情况说明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七、关于皮山县皮亚勒玛乡中心小学2023年一般公共预算项目支出情况说明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八、关于皮山县皮亚勒玛乡中心小学2023年政府性基金预算拨款情况说明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九、关于皮山县皮亚勒玛乡中心小学2023年国有资本经营预算拨款情况说明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十、关于皮山县皮亚勒玛乡中心小学2023年财政拨款“三公”经费预算情况说明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黑体" w:hAnsi="黑体" w:eastAsia="黑体" w:cs="黑体"/>
          <w:position w:val="15"/>
          <w:sz w:val="32"/>
          <w:szCs w:val="32"/>
        </w:rPr>
        <w:t>第四部分 名词解释</w:t>
      </w:r>
    </w:p>
    <w:p>
      <w:pPr>
        <w:sectPr>
          <w:cols w:space="720" w:num="1"/>
        </w:sectPr>
      </w:pPr>
      <w:r>
        <w:br w:type="textWrapping"/>
      </w:r>
    </w:p>
    <w:p>
      <w:pPr>
        <w:ind w:left="200" w:right="200" w:firstLine="500"/>
        <w:jc w:val="center"/>
      </w:pPr>
      <w:r>
        <w:rPr>
          <w:rFonts w:ascii="黑体" w:hAnsi="黑体" w:eastAsia="黑体" w:cs="黑体"/>
          <w:position w:val="30"/>
          <w:sz w:val="42"/>
        </w:rPr>
        <w:t>第一部分 皮山县皮亚勒玛乡中心小学单位概况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一、主要职能</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bookmarkStart w:id="0" w:name="OLE_LINK1"/>
      <w:r>
        <w:rPr>
          <w:rFonts w:ascii="仿宋" w:hAnsi="仿宋" w:eastAsia="仿宋" w:cs="仿宋"/>
          <w:position w:val="10"/>
          <w:sz w:val="32"/>
          <w:szCs w:val="32"/>
        </w:rPr>
        <w:t>正</w:t>
      </w:r>
      <w:bookmarkEnd w:id="0"/>
      <w:r>
        <w:rPr>
          <w:rFonts w:ascii="仿宋" w:hAnsi="仿宋" w:eastAsia="仿宋" w:cs="仿宋"/>
          <w:position w:val="10"/>
          <w:sz w:val="32"/>
          <w:szCs w:val="32"/>
        </w:rPr>
        <w:t>确贯彻执行党和国家的教育方针、政策、法规；维护学校的教学秩序，为学生创造良好的学习环境；积极稳妥地推进教育改革，按教育规律办事，不断提高教育质量；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 ；按学校的实际情况</w:t>
      </w:r>
      <w:r>
        <w:rPr>
          <w:rFonts w:hint="eastAsia" w:ascii="仿宋" w:hAnsi="仿宋" w:eastAsia="仿宋" w:cs="仿宋"/>
          <w:position w:val="10"/>
          <w:sz w:val="32"/>
          <w:szCs w:val="32"/>
          <w:lang w:eastAsia="zh-CN"/>
        </w:rPr>
        <w:t>做好</w:t>
      </w:r>
      <w:r>
        <w:rPr>
          <w:rFonts w:ascii="仿宋" w:hAnsi="仿宋" w:eastAsia="仿宋" w:cs="仿宋"/>
          <w:position w:val="10"/>
          <w:sz w:val="32"/>
          <w:szCs w:val="32"/>
        </w:rPr>
        <w:t>教育经费预算，统筹执行教育费附加、教育专项经费，按时公示学校教育事业经费的使用情况。</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二、机构设置及人员情况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皮山县皮亚勒玛乡中心小学无下属预算单位，下设5个科室，分别是：教务室，总务室，党建办，德育办 ，教研室。</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皮山县皮亚勒玛乡中心小学单位编制数47，实有人数79人，其中：在职66人，增加0人；退休13人，增加0人；离休0人，增加0人。</w:t>
      </w:r>
    </w:p>
    <w:p>
      <w:pPr>
        <w:sectPr>
          <w:cols w:space="720" w:num="1"/>
        </w:sectPr>
      </w:pPr>
      <w:r>
        <w:br w:type="textWrapping"/>
      </w:r>
    </w:p>
    <w:p>
      <w:pPr>
        <w:ind w:left="200" w:right="200" w:firstLine="500"/>
        <w:jc w:val="center"/>
      </w:pPr>
      <w:r>
        <w:rPr>
          <w:rFonts w:ascii="黑体" w:hAnsi="黑体" w:eastAsia="黑体" w:cs="黑体"/>
          <w:position w:val="30"/>
          <w:sz w:val="42"/>
        </w:rPr>
        <w:t>第二部分 2023年</w:t>
      </w:r>
      <w:r>
        <w:rPr>
          <w:rFonts w:hint="eastAsia" w:ascii="黑体" w:hAnsi="黑体" w:eastAsia="黑体" w:cs="黑体"/>
          <w:position w:val="30"/>
          <w:sz w:val="42"/>
          <w:lang w:val="en-US" w:eastAsia="zh-CN"/>
        </w:rPr>
        <w:t>部门</w:t>
      </w:r>
      <w:r>
        <w:rPr>
          <w:rFonts w:ascii="黑体" w:hAnsi="黑体" w:eastAsia="黑体" w:cs="黑体"/>
          <w:position w:val="30"/>
          <w:sz w:val="42"/>
        </w:rPr>
        <w:t>预算公开表</w:t>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805"/>
        <w:gridCol w:w="748"/>
        <w:gridCol w:w="3099"/>
        <w:gridCol w:w="748"/>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left"/>
            </w:pPr>
            <w:r>
              <w:rPr>
                <w:rFonts w:ascii="仿宋" w:hAnsi="仿宋" w:eastAsia="仿宋" w:cs="仿宋"/>
                <w:position w:val="8"/>
                <w:sz w:val="20"/>
              </w:rPr>
              <w:t>表1</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4"/>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收支总体情况表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：皮山县皮亚勒玛乡中心小学</w:t>
            </w:r>
          </w:p>
        </w:tc>
        <w:tc>
          <w:tcPr>
            <w:tcW w:w="3847" w:type="dxa"/>
            <w:gridSpan w:val="2"/>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55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收   入</w:t>
            </w:r>
          </w:p>
        </w:tc>
        <w:tc>
          <w:tcPr>
            <w:tcW w:w="384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   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预算数</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一、本年收入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1503.88</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1503.88</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其中：一般财力</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1147.75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上级一般公共预算安排转移支付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356.13</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1623.73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其中：政府性基金收入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上级政府性基金安排转移支付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其中：国有资本经营收入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上级国有资本经营预算安排转移支付</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4.财政专户核拨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5.单位资金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其中：事业收入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上级补助收入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附属单位上缴收入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事业单位经营收入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其他收入</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二、上年结转结余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119.85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1.财政拨款结转</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119.85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其中：一般公共预算拨款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119.85</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基金预算拨款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国有资本经营预算拨款</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2.非财政拨款结转结余</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其中：财政专户核拨</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单位资金</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80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1623.73</w:t>
            </w:r>
          </w:p>
        </w:tc>
        <w:tc>
          <w:tcPr>
            <w:tcW w:w="30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74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1623.73</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61"/>
        <w:gridCol w:w="253"/>
        <w:gridCol w:w="253"/>
        <w:gridCol w:w="430"/>
        <w:gridCol w:w="602"/>
        <w:gridCol w:w="795"/>
        <w:gridCol w:w="685"/>
        <w:gridCol w:w="865"/>
        <w:gridCol w:w="402"/>
        <w:gridCol w:w="596"/>
        <w:gridCol w:w="430"/>
        <w:gridCol w:w="679"/>
        <w:gridCol w:w="657"/>
        <w:gridCol w:w="319"/>
        <w:gridCol w:w="616"/>
        <w:gridCol w:w="45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表2</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收入总体情况表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008" w:type="dxa"/>
            <w:gridSpan w:val="1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：皮山县皮亚勒玛乡中心小学</w:t>
            </w:r>
          </w:p>
        </w:tc>
        <w:tc>
          <w:tcPr>
            <w:tcW w:w="1392"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6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功能分类编码</w:t>
            </w:r>
          </w:p>
        </w:tc>
        <w:tc>
          <w:tcPr>
            <w:tcW w:w="43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60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总  计</w:t>
            </w:r>
          </w:p>
        </w:tc>
        <w:tc>
          <w:tcPr>
            <w:tcW w:w="4452"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w:t>
            </w:r>
          </w:p>
        </w:tc>
        <w:tc>
          <w:tcPr>
            <w:tcW w:w="6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财政专户（教育收费）</w:t>
            </w:r>
          </w:p>
        </w:tc>
        <w:tc>
          <w:tcPr>
            <w:tcW w:w="31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单位资金</w:t>
            </w:r>
          </w:p>
        </w:tc>
        <w:tc>
          <w:tcPr>
            <w:tcW w:w="61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财政拨款结转</w:t>
            </w:r>
          </w:p>
        </w:tc>
        <w:tc>
          <w:tcPr>
            <w:tcW w:w="4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非财政拨款结转结余</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430" w:type="dxa"/>
            <w:vMerge w:val="continue"/>
          </w:tcPr>
          <w:p/>
        </w:tc>
        <w:tc>
          <w:tcPr>
            <w:tcW w:w="602" w:type="dxa"/>
            <w:vMerge w:val="continue"/>
          </w:tcP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财政拨款（补助）小计</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86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上级一般公共预算安排的转移支付</w:t>
            </w:r>
          </w:p>
        </w:tc>
        <w:tc>
          <w:tcPr>
            <w:tcW w:w="40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上级政府性基金安排的转移支付</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上级国有资本经营预算安排的转移支付</w:t>
            </w:r>
          </w:p>
        </w:tc>
        <w:tc>
          <w:tcPr>
            <w:tcW w:w="657" w:type="dxa"/>
            <w:vMerge w:val="continue"/>
          </w:tcPr>
          <w:p/>
        </w:tc>
        <w:tc>
          <w:tcPr>
            <w:tcW w:w="319" w:type="dxa"/>
            <w:vMerge w:val="continue"/>
          </w:tcPr>
          <w:p/>
        </w:tc>
        <w:tc>
          <w:tcPr>
            <w:tcW w:w="616" w:type="dxa"/>
            <w:vMerge w:val="continue"/>
          </w:tcPr>
          <w:p/>
        </w:tc>
        <w:tc>
          <w:tcPr>
            <w:tcW w:w="45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6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1623.73</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1503.88</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1147.75</w:t>
            </w:r>
          </w:p>
        </w:tc>
        <w:tc>
          <w:tcPr>
            <w:tcW w:w="8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356.13</w:t>
            </w:r>
          </w:p>
        </w:tc>
        <w:tc>
          <w:tcPr>
            <w:tcW w:w="40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119.85</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6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1623.73</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1503.88</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1147.75</w:t>
            </w:r>
          </w:p>
        </w:tc>
        <w:tc>
          <w:tcPr>
            <w:tcW w:w="8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356.13</w:t>
            </w:r>
          </w:p>
        </w:tc>
        <w:tc>
          <w:tcPr>
            <w:tcW w:w="40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119.85</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6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1623.73</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1503.88</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1147.75</w:t>
            </w:r>
          </w:p>
        </w:tc>
        <w:tc>
          <w:tcPr>
            <w:tcW w:w="8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356.13</w:t>
            </w:r>
          </w:p>
        </w:tc>
        <w:tc>
          <w:tcPr>
            <w:tcW w:w="40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119.85</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6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02"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1623.73</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1503.88</w:t>
            </w:r>
          </w:p>
        </w:tc>
        <w:tc>
          <w:tcPr>
            <w:tcW w:w="68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1147.75</w:t>
            </w:r>
          </w:p>
        </w:tc>
        <w:tc>
          <w:tcPr>
            <w:tcW w:w="86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356.13</w:t>
            </w:r>
          </w:p>
        </w:tc>
        <w:tc>
          <w:tcPr>
            <w:tcW w:w="402"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596"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3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7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5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1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119.85</w:t>
            </w:r>
          </w:p>
        </w:tc>
        <w:tc>
          <w:tcPr>
            <w:tcW w:w="457"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987"/>
        <w:gridCol w:w="693"/>
        <w:gridCol w:w="693"/>
        <w:gridCol w:w="2752"/>
        <w:gridCol w:w="861"/>
        <w:gridCol w:w="1207"/>
        <w:gridCol w:w="1207"/>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hint="eastAsia" w:ascii="黑体" w:hAnsi="黑体" w:eastAsia="黑体" w:cs="黑体"/>
                <w:position w:val="15"/>
                <w:sz w:val="28"/>
                <w:lang w:val="en-US" w:eastAsia="zh-CN"/>
              </w:rPr>
              <w:t>部门</w:t>
            </w:r>
            <w:r>
              <w:rPr>
                <w:rFonts w:ascii="黑体" w:hAnsi="黑体" w:eastAsia="黑体" w:cs="黑体"/>
                <w:position w:val="15"/>
                <w:sz w:val="28"/>
              </w:rPr>
              <w:t>支出总体情况表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25"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：皮山县皮亚勒玛乡中心小学</w:t>
            </w:r>
          </w:p>
        </w:tc>
        <w:tc>
          <w:tcPr>
            <w:tcW w:w="3275"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125"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27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支出预算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7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75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61"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12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2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8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752" w:type="dxa"/>
            <w:vMerge w:val="continue"/>
          </w:tcPr>
          <w:p/>
        </w:tc>
        <w:tc>
          <w:tcPr>
            <w:tcW w:w="861" w:type="dxa"/>
            <w:vMerge w:val="continue"/>
          </w:tcPr>
          <w:p/>
        </w:tc>
        <w:tc>
          <w:tcPr>
            <w:tcW w:w="1207" w:type="dxa"/>
            <w:vMerge w:val="continue"/>
          </w:tcPr>
          <w:p/>
        </w:tc>
        <w:tc>
          <w:tcPr>
            <w:tcW w:w="1207"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7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86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1623.73</w:t>
            </w:r>
          </w:p>
        </w:tc>
        <w:tc>
          <w:tcPr>
            <w:tcW w:w="12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1147.75</w:t>
            </w:r>
          </w:p>
        </w:tc>
        <w:tc>
          <w:tcPr>
            <w:tcW w:w="12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475.98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7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86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1623.73</w:t>
            </w:r>
          </w:p>
        </w:tc>
        <w:tc>
          <w:tcPr>
            <w:tcW w:w="12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1147.75</w:t>
            </w:r>
          </w:p>
        </w:tc>
        <w:tc>
          <w:tcPr>
            <w:tcW w:w="12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475.98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7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86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1623.73</w:t>
            </w:r>
          </w:p>
        </w:tc>
        <w:tc>
          <w:tcPr>
            <w:tcW w:w="12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1147.75</w:t>
            </w:r>
          </w:p>
        </w:tc>
        <w:tc>
          <w:tcPr>
            <w:tcW w:w="12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475.98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9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752"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86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1623.73</w:t>
            </w:r>
          </w:p>
        </w:tc>
        <w:tc>
          <w:tcPr>
            <w:tcW w:w="12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1147.75</w:t>
            </w:r>
          </w:p>
        </w:tc>
        <w:tc>
          <w:tcPr>
            <w:tcW w:w="120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475.98</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630"/>
        <w:gridCol w:w="836"/>
        <w:gridCol w:w="2000"/>
        <w:gridCol w:w="836"/>
        <w:gridCol w:w="997"/>
        <w:gridCol w:w="988"/>
        <w:gridCol w:w="11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表4</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财政拨款收支预算总体情况表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02"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：皮山县皮亚勒玛乡中心小学</w:t>
            </w:r>
          </w:p>
        </w:tc>
        <w:tc>
          <w:tcPr>
            <w:tcW w:w="3098"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46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财政拨款收入</w:t>
            </w:r>
          </w:p>
        </w:tc>
        <w:tc>
          <w:tcPr>
            <w:tcW w:w="5934" w:type="dxa"/>
            <w:gridSpan w:val="5"/>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财政拨款支出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    目</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 能 分 类</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一、财政拨款（补助）</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1503.88</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201 一般公共服务支出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一般公共预算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1503.88</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 外交支出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政府性基金预算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203 国防支出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国有资本经营预算</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204 公共安全支出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 教育支出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1503.88</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1503.88</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206 科学技术支出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207 文化旅游体育与传媒支出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208 社会保障和就业支出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209 社会保险基金支出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210 卫生健康支出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211 节能环保支出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212 城乡社区支出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213 农林水支出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214 交通运输支出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215 资源勘探工业信息等支出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216 商业服务业等支出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217 金融支出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219 援助其他地区支出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220 自然资源海洋气象等支出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221 住房保障支出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222 粮油物资储备支出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223 国有资本经营预算支出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224 灾害防治及应急管理支出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227 预备费</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229 其他支出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230 转移性支出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231 债务还本支出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232 债务付息支出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233 债务发行费用支出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234 抗疫特别国债安排的支出</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63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收  入  总  计</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1503.88</w:t>
            </w:r>
          </w:p>
        </w:tc>
        <w:tc>
          <w:tcPr>
            <w:tcW w:w="20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支  出  总  计</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1503.88</w:t>
            </w:r>
          </w:p>
        </w:tc>
        <w:tc>
          <w:tcPr>
            <w:tcW w:w="99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1503.88</w:t>
            </w:r>
          </w:p>
        </w:tc>
        <w:tc>
          <w:tcPr>
            <w:tcW w:w="988"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113"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963"/>
        <w:gridCol w:w="677"/>
        <w:gridCol w:w="677"/>
        <w:gridCol w:w="2687"/>
        <w:gridCol w:w="1038"/>
        <w:gridCol w:w="1179"/>
        <w:gridCol w:w="1179"/>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表5</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一般公共预算支出情况表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04"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：皮山县皮亚勒玛乡中心小学</w:t>
            </w:r>
          </w:p>
        </w:tc>
        <w:tc>
          <w:tcPr>
            <w:tcW w:w="3396"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004"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396"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1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68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103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17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17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687" w:type="dxa"/>
            <w:vMerge w:val="continue"/>
          </w:tcPr>
          <w:p/>
        </w:tc>
        <w:tc>
          <w:tcPr>
            <w:tcW w:w="1038" w:type="dxa"/>
            <w:vMerge w:val="continue"/>
          </w:tcPr>
          <w:p/>
        </w:tc>
        <w:tc>
          <w:tcPr>
            <w:tcW w:w="1179" w:type="dxa"/>
            <w:vMerge w:val="continue"/>
          </w:tcPr>
          <w:p/>
        </w:tc>
        <w:tc>
          <w:tcPr>
            <w:tcW w:w="1179"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6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10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1503.88</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1147.75</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356.13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6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10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1503.88</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1147.75</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356.13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6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0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1503.88</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1147.75</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356.13</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96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7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68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03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1503.88</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1147.75</w:t>
            </w:r>
          </w:p>
        </w:tc>
        <w:tc>
          <w:tcPr>
            <w:tcW w:w="117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356.13</w:t>
            </w: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1158"/>
        <w:gridCol w:w="811"/>
        <w:gridCol w:w="3413"/>
        <w:gridCol w:w="1006"/>
        <w:gridCol w:w="1006"/>
        <w:gridCol w:w="1006"/>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left"/>
            </w:pPr>
            <w:r>
              <w:rPr>
                <w:rFonts w:ascii="仿宋" w:hAnsi="仿宋" w:eastAsia="仿宋" w:cs="仿宋"/>
                <w:position w:val="8"/>
                <w:sz w:val="20"/>
              </w:rPr>
              <w:t>表6</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6"/>
            <w:tcBorders>
              <w:top w:val="nil"/>
              <w:left w:val="nil"/>
              <w:bottom w:val="nil"/>
              <w:right w:val="nil"/>
            </w:tcBorders>
            <w:vAlign w:val="center"/>
          </w:tcPr>
          <w:p>
            <w:pPr>
              <w:ind w:left="150"/>
              <w:jc w:val="center"/>
            </w:pPr>
            <w:r>
              <w:rPr>
                <w:rFonts w:ascii="黑体" w:hAnsi="黑体" w:eastAsia="黑体" w:cs="黑体"/>
                <w:position w:val="15"/>
                <w:sz w:val="28"/>
              </w:rPr>
              <w:t>一般公共预算基本支出情况表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82" w:type="dxa"/>
            <w:gridSpan w:val="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：皮山县皮亚勒玛乡中心小学</w:t>
            </w:r>
          </w:p>
        </w:tc>
        <w:tc>
          <w:tcPr>
            <w:tcW w:w="3018"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8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01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一般公共预算基本支出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96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经济分类科目编码</w:t>
            </w:r>
          </w:p>
        </w:tc>
        <w:tc>
          <w:tcPr>
            <w:tcW w:w="341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经济分类科目名称</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人员经费</w:t>
            </w:r>
          </w:p>
        </w:tc>
        <w:tc>
          <w:tcPr>
            <w:tcW w:w="1006"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公用经费</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3413" w:type="dxa"/>
            <w:vMerge w:val="continue"/>
          </w:tcPr>
          <w:p/>
        </w:tc>
        <w:tc>
          <w:tcPr>
            <w:tcW w:w="1006" w:type="dxa"/>
            <w:vMerge w:val="continue"/>
          </w:tcPr>
          <w:p/>
        </w:tc>
        <w:tc>
          <w:tcPr>
            <w:tcW w:w="1006" w:type="dxa"/>
            <w:vMerge w:val="continue"/>
          </w:tcPr>
          <w:p/>
        </w:tc>
        <w:tc>
          <w:tcPr>
            <w:tcW w:w="1006"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工资福利支出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1123.59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1123.59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01</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基本工资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273.97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273.97</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津贴补贴</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263.62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263.62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86.44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86.44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07</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绩效工资</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185.12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185.12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08</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机关事业单位基本养老保险缴费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116.19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116.19</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职业年金缴费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10</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城镇职工基本医疗保险缴费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47.2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其他社会保障缴费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5.81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301</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13</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住房公积金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87.14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87.14</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对个人和家庭的补助支出</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24.16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24.16</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退休费</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19.52</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05</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生活补助</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4.61</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303</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09</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奖励金</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0.03</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15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11"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41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1147.75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1147.75</w:t>
            </w:r>
          </w:p>
        </w:tc>
        <w:tc>
          <w:tcPr>
            <w:tcW w:w="1006"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338"/>
        <w:gridCol w:w="237"/>
        <w:gridCol w:w="237"/>
        <w:gridCol w:w="314"/>
        <w:gridCol w:w="1653"/>
        <w:gridCol w:w="609"/>
        <w:gridCol w:w="470"/>
        <w:gridCol w:w="635"/>
        <w:gridCol w:w="687"/>
        <w:gridCol w:w="444"/>
        <w:gridCol w:w="669"/>
        <w:gridCol w:w="340"/>
        <w:gridCol w:w="669"/>
        <w:gridCol w:w="340"/>
        <w:gridCol w:w="444"/>
        <w:gridCol w:w="31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left"/>
            </w:pPr>
            <w:r>
              <w:rPr>
                <w:rFonts w:ascii="仿宋" w:hAnsi="仿宋" w:eastAsia="仿宋" w:cs="仿宋"/>
                <w:position w:val="8"/>
                <w:sz w:val="20"/>
              </w:rPr>
              <w:t>表7</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16"/>
            <w:tcBorders>
              <w:top w:val="nil"/>
              <w:left w:val="nil"/>
              <w:bottom w:val="nil"/>
              <w:right w:val="nil"/>
            </w:tcBorders>
            <w:vAlign w:val="center"/>
          </w:tcPr>
          <w:p>
            <w:pPr>
              <w:ind w:left="150"/>
              <w:jc w:val="center"/>
            </w:pPr>
            <w:r>
              <w:rPr>
                <w:rFonts w:ascii="黑体" w:hAnsi="黑体" w:eastAsia="黑体" w:cs="黑体"/>
                <w:position w:val="15"/>
                <w:sz w:val="28"/>
              </w:rPr>
              <w:t>一般公共预算项目支出情况表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302" w:type="dxa"/>
            <w:gridSpan w:val="13"/>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：皮山县皮亚勒玛乡中心小学</w:t>
            </w:r>
          </w:p>
        </w:tc>
        <w:tc>
          <w:tcPr>
            <w:tcW w:w="1098"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1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科目编码</w:t>
            </w:r>
          </w:p>
        </w:tc>
        <w:tc>
          <w:tcPr>
            <w:tcW w:w="3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科目名称</w:t>
            </w:r>
          </w:p>
        </w:tc>
        <w:tc>
          <w:tcPr>
            <w:tcW w:w="1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项目名称</w:t>
            </w:r>
          </w:p>
        </w:tc>
        <w:tc>
          <w:tcPr>
            <w:tcW w:w="60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项目支出合计</w:t>
            </w:r>
          </w:p>
        </w:tc>
        <w:tc>
          <w:tcPr>
            <w:tcW w:w="4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工资福利支出</w:t>
            </w:r>
          </w:p>
        </w:tc>
        <w:tc>
          <w:tcPr>
            <w:tcW w:w="63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商品和服务支出</w:t>
            </w:r>
          </w:p>
        </w:tc>
        <w:tc>
          <w:tcPr>
            <w:tcW w:w="68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对个人和家庭的补助</w:t>
            </w:r>
          </w:p>
        </w:tc>
        <w:tc>
          <w:tcPr>
            <w:tcW w:w="44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债务利息及费用支出</w:t>
            </w:r>
          </w:p>
        </w:tc>
        <w:tc>
          <w:tcPr>
            <w:tcW w:w="66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资本性支出（基本建设）</w:t>
            </w:r>
          </w:p>
        </w:tc>
        <w:tc>
          <w:tcPr>
            <w:tcW w:w="34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资本性支出</w:t>
            </w:r>
          </w:p>
        </w:tc>
        <w:tc>
          <w:tcPr>
            <w:tcW w:w="66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对企业补助（基本建设）</w:t>
            </w:r>
          </w:p>
        </w:tc>
        <w:tc>
          <w:tcPr>
            <w:tcW w:w="34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对企业补助</w:t>
            </w:r>
          </w:p>
        </w:tc>
        <w:tc>
          <w:tcPr>
            <w:tcW w:w="44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对社会保障基金补助</w:t>
            </w:r>
          </w:p>
        </w:tc>
        <w:tc>
          <w:tcPr>
            <w:tcW w:w="3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其他支出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314" w:type="dxa"/>
            <w:vMerge w:val="continue"/>
          </w:tcPr>
          <w:p/>
        </w:tc>
        <w:tc>
          <w:tcPr>
            <w:tcW w:w="1653" w:type="dxa"/>
            <w:vMerge w:val="continue"/>
          </w:tcPr>
          <w:p/>
        </w:tc>
        <w:tc>
          <w:tcPr>
            <w:tcW w:w="609" w:type="dxa"/>
            <w:vMerge w:val="continue"/>
          </w:tcPr>
          <w:p/>
        </w:tc>
        <w:tc>
          <w:tcPr>
            <w:tcW w:w="470" w:type="dxa"/>
            <w:vMerge w:val="continue"/>
          </w:tcPr>
          <w:p/>
        </w:tc>
        <w:tc>
          <w:tcPr>
            <w:tcW w:w="635" w:type="dxa"/>
            <w:vMerge w:val="continue"/>
          </w:tcPr>
          <w:p/>
        </w:tc>
        <w:tc>
          <w:tcPr>
            <w:tcW w:w="687" w:type="dxa"/>
            <w:vMerge w:val="continue"/>
          </w:tcPr>
          <w:p/>
        </w:tc>
        <w:tc>
          <w:tcPr>
            <w:tcW w:w="444" w:type="dxa"/>
            <w:vMerge w:val="continue"/>
          </w:tcPr>
          <w:p/>
        </w:tc>
        <w:tc>
          <w:tcPr>
            <w:tcW w:w="669" w:type="dxa"/>
            <w:vMerge w:val="continue"/>
          </w:tcPr>
          <w:p/>
        </w:tc>
        <w:tc>
          <w:tcPr>
            <w:tcW w:w="340" w:type="dxa"/>
            <w:vMerge w:val="continue"/>
          </w:tcPr>
          <w:p/>
        </w:tc>
        <w:tc>
          <w:tcPr>
            <w:tcW w:w="669" w:type="dxa"/>
            <w:vMerge w:val="continue"/>
          </w:tcPr>
          <w:p/>
        </w:tc>
        <w:tc>
          <w:tcPr>
            <w:tcW w:w="340" w:type="dxa"/>
            <w:vMerge w:val="continue"/>
          </w:tcPr>
          <w:p/>
        </w:tc>
        <w:tc>
          <w:tcPr>
            <w:tcW w:w="444" w:type="dxa"/>
            <w:vMerge w:val="continue"/>
          </w:tcPr>
          <w:p/>
        </w:tc>
        <w:tc>
          <w:tcPr>
            <w:tcW w:w="314"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教育支出</w:t>
            </w:r>
          </w:p>
        </w:tc>
        <w:tc>
          <w:tcPr>
            <w:tcW w:w="16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356.13</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75.9</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109.96</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170.27</w:t>
            </w: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普通教育</w:t>
            </w:r>
          </w:p>
        </w:tc>
        <w:tc>
          <w:tcPr>
            <w:tcW w:w="16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356.13</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75.9</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109.96</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170.27</w:t>
            </w: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2023年城乡义务教育补助经费-家庭经济困难学生综合奖补 和地财教</w:t>
            </w:r>
            <w:r>
              <w:rPr>
                <w:rFonts w:hint="eastAsia" w:ascii="仿宋" w:hAnsi="仿宋" w:eastAsia="仿宋" w:cs="仿宋"/>
                <w:position w:val="8"/>
                <w:sz w:val="20"/>
                <w:lang w:eastAsia="zh-CN"/>
              </w:rPr>
              <w:t>〔2022〕70号</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7.23</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7.23</w:t>
            </w: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〔2022〕75号</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1.01</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4.62</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4.62</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2023年城乡义务教育补助经费-农村学生营养改善补助 和地财教</w:t>
            </w:r>
            <w:r>
              <w:rPr>
                <w:rFonts w:hint="eastAsia" w:ascii="仿宋" w:hAnsi="仿宋" w:eastAsia="仿宋" w:cs="仿宋"/>
                <w:position w:val="8"/>
                <w:sz w:val="20"/>
                <w:lang w:eastAsia="zh-CN"/>
              </w:rPr>
              <w:t>〔2022〕70号</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108.61</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108.61</w:t>
            </w: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〔2022〕75号</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18.23</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18.23</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〔2022〕70号</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24.83</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24.83</w:t>
            </w: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〔2022〕75号</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29.6</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29.6</w:t>
            </w: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2023年城乡义务教育补助经费-特岗教师工资性补助 和地财教</w:t>
            </w:r>
            <w:r>
              <w:rPr>
                <w:rFonts w:hint="eastAsia" w:ascii="仿宋" w:hAnsi="仿宋" w:eastAsia="仿宋" w:cs="仿宋"/>
                <w:position w:val="8"/>
                <w:sz w:val="20"/>
                <w:lang w:eastAsia="zh-CN"/>
              </w:rPr>
              <w:t>〔2022〕70号</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75.9</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75.9</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205</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02</w:t>
            </w: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小学教育</w:t>
            </w:r>
          </w:p>
        </w:tc>
        <w:tc>
          <w:tcPr>
            <w:tcW w:w="16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〔2022〕70号</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86.1</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86.1</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338"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37"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1653"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60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356.13</w:t>
            </w:r>
          </w:p>
        </w:tc>
        <w:tc>
          <w:tcPr>
            <w:tcW w:w="470"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75.9</w:t>
            </w:r>
          </w:p>
        </w:tc>
        <w:tc>
          <w:tcPr>
            <w:tcW w:w="635"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109.96</w:t>
            </w:r>
          </w:p>
        </w:tc>
        <w:tc>
          <w:tcPr>
            <w:tcW w:w="687"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170.27</w:t>
            </w: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669"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4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444"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314" w:type="dxa"/>
            <w:tcBorders>
              <w:top w:val="single" w:color="auto" w:sz="0" w:space="0"/>
              <w:left w:val="single" w:color="auto" w:sz="0" w:space="0"/>
              <w:bottom w:val="single" w:color="auto" w:sz="0" w:space="0"/>
              <w:right w:val="single" w:color="auto" w:sz="0" w:space="0"/>
            </w:tcBorders>
            <w:vAlign w:val="center"/>
          </w:tcPr>
          <w:p>
            <w:pPr>
              <w:ind w:left="30"/>
              <w:jc w:val="right"/>
            </w:pPr>
          </w:p>
        </w:tc>
      </w:tr>
    </w:tbl>
    <w:p>
      <w:pPr>
        <w:sectPr>
          <w:cols w:space="720" w:num="1"/>
        </w:sectPr>
      </w:pPr>
      <w:r>
        <w:br w:type="textWrapping"/>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94"/>
        <w:gridCol w:w="795"/>
        <w:gridCol w:w="794"/>
        <w:gridCol w:w="2984"/>
        <w:gridCol w:w="933"/>
        <w:gridCol w:w="1050"/>
        <w:gridCol w:w="1050"/>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表8</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政府性基金预算支出情况表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367"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：皮山县皮亚勒玛乡中心小学</w:t>
            </w:r>
          </w:p>
        </w:tc>
        <w:tc>
          <w:tcPr>
            <w:tcW w:w="3033"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67"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03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83"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98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93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5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05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9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984" w:type="dxa"/>
            <w:vMerge w:val="continue"/>
          </w:tcPr>
          <w:p/>
        </w:tc>
        <w:tc>
          <w:tcPr>
            <w:tcW w:w="933" w:type="dxa"/>
            <w:vMerge w:val="continue"/>
          </w:tcPr>
          <w:p/>
        </w:tc>
        <w:tc>
          <w:tcPr>
            <w:tcW w:w="1050" w:type="dxa"/>
            <w:vMerge w:val="continue"/>
          </w:tcPr>
          <w:p/>
        </w:tc>
        <w:tc>
          <w:tcPr>
            <w:tcW w:w="1050"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9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84"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93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50"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50"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4" w:type="dxa"/>
          </w:tcPr>
          <w:p/>
        </w:tc>
        <w:tc>
          <w:tcPr>
            <w:tcW w:w="795" w:type="dxa"/>
          </w:tcPr>
          <w:p/>
        </w:tc>
        <w:tc>
          <w:tcPr>
            <w:tcW w:w="794" w:type="dxa"/>
          </w:tcPr>
          <w:p/>
        </w:tc>
        <w:tc>
          <w:tcPr>
            <w:tcW w:w="2984" w:type="dxa"/>
          </w:tcPr>
          <w:p/>
        </w:tc>
        <w:tc>
          <w:tcPr>
            <w:tcW w:w="933" w:type="dxa"/>
          </w:tcPr>
          <w:p/>
        </w:tc>
        <w:tc>
          <w:tcPr>
            <w:tcW w:w="1050" w:type="dxa"/>
          </w:tcPr>
          <w:p/>
        </w:tc>
        <w:tc>
          <w:tcPr>
            <w:tcW w:w="105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4" w:type="dxa"/>
          </w:tcPr>
          <w:p/>
        </w:tc>
        <w:tc>
          <w:tcPr>
            <w:tcW w:w="795" w:type="dxa"/>
          </w:tcPr>
          <w:p/>
        </w:tc>
        <w:tc>
          <w:tcPr>
            <w:tcW w:w="794" w:type="dxa"/>
          </w:tcPr>
          <w:p/>
        </w:tc>
        <w:tc>
          <w:tcPr>
            <w:tcW w:w="2984" w:type="dxa"/>
          </w:tcPr>
          <w:p/>
        </w:tc>
        <w:tc>
          <w:tcPr>
            <w:tcW w:w="933" w:type="dxa"/>
          </w:tcPr>
          <w:p/>
        </w:tc>
        <w:tc>
          <w:tcPr>
            <w:tcW w:w="1050" w:type="dxa"/>
          </w:tcPr>
          <w:p/>
        </w:tc>
        <w:tc>
          <w:tcPr>
            <w:tcW w:w="105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4" w:type="dxa"/>
          </w:tcPr>
          <w:p/>
        </w:tc>
        <w:tc>
          <w:tcPr>
            <w:tcW w:w="795" w:type="dxa"/>
          </w:tcPr>
          <w:p/>
        </w:tc>
        <w:tc>
          <w:tcPr>
            <w:tcW w:w="794" w:type="dxa"/>
          </w:tcPr>
          <w:p/>
        </w:tc>
        <w:tc>
          <w:tcPr>
            <w:tcW w:w="2984" w:type="dxa"/>
          </w:tcPr>
          <w:p/>
        </w:tc>
        <w:tc>
          <w:tcPr>
            <w:tcW w:w="933" w:type="dxa"/>
          </w:tcPr>
          <w:p/>
        </w:tc>
        <w:tc>
          <w:tcPr>
            <w:tcW w:w="1050" w:type="dxa"/>
          </w:tcPr>
          <w:p/>
        </w:tc>
        <w:tc>
          <w:tcPr>
            <w:tcW w:w="105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4" w:type="dxa"/>
          </w:tcPr>
          <w:p/>
        </w:tc>
        <w:tc>
          <w:tcPr>
            <w:tcW w:w="795" w:type="dxa"/>
          </w:tcPr>
          <w:p/>
        </w:tc>
        <w:tc>
          <w:tcPr>
            <w:tcW w:w="794" w:type="dxa"/>
          </w:tcPr>
          <w:p/>
        </w:tc>
        <w:tc>
          <w:tcPr>
            <w:tcW w:w="2984" w:type="dxa"/>
          </w:tcPr>
          <w:p/>
        </w:tc>
        <w:tc>
          <w:tcPr>
            <w:tcW w:w="933" w:type="dxa"/>
          </w:tcPr>
          <w:p/>
        </w:tc>
        <w:tc>
          <w:tcPr>
            <w:tcW w:w="1050" w:type="dxa"/>
          </w:tcPr>
          <w:p/>
        </w:tc>
        <w:tc>
          <w:tcPr>
            <w:tcW w:w="105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4" w:type="dxa"/>
          </w:tcPr>
          <w:p/>
        </w:tc>
        <w:tc>
          <w:tcPr>
            <w:tcW w:w="795" w:type="dxa"/>
          </w:tcPr>
          <w:p/>
        </w:tc>
        <w:tc>
          <w:tcPr>
            <w:tcW w:w="794" w:type="dxa"/>
          </w:tcPr>
          <w:p/>
        </w:tc>
        <w:tc>
          <w:tcPr>
            <w:tcW w:w="2984" w:type="dxa"/>
          </w:tcPr>
          <w:p/>
        </w:tc>
        <w:tc>
          <w:tcPr>
            <w:tcW w:w="933" w:type="dxa"/>
          </w:tcPr>
          <w:p/>
        </w:tc>
        <w:tc>
          <w:tcPr>
            <w:tcW w:w="1050" w:type="dxa"/>
          </w:tcPr>
          <w:p/>
        </w:tc>
        <w:tc>
          <w:tcPr>
            <w:tcW w:w="1050"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皮山县皮亚勒玛乡中心小学2023年没有使用政府性基金预算拨款安排的支出。</w:t>
            </w:r>
          </w:p>
        </w:tc>
      </w:tr>
    </w:tbl>
    <w:tbl>
      <w:tblPr>
        <w:tblStyle w:val="4"/>
        <w:tblpPr w:leftFromText="180" w:rightFromText="180" w:vertAnchor="text" w:horzAnchor="page" w:tblpX="1677" w:tblpY="1461"/>
        <w:tblOverlap w:val="never"/>
        <w:tblW w:w="8400"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799"/>
        <w:gridCol w:w="800"/>
        <w:gridCol w:w="799"/>
        <w:gridCol w:w="2995"/>
        <w:gridCol w:w="840"/>
        <w:gridCol w:w="1083"/>
        <w:gridCol w:w="1084"/>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left"/>
            </w:pPr>
            <w:r>
              <w:rPr>
                <w:rFonts w:ascii="仿宋" w:hAnsi="仿宋" w:eastAsia="仿宋" w:cs="仿宋"/>
                <w:position w:val="8"/>
                <w:sz w:val="20"/>
              </w:rPr>
              <w:t>表9</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top w:val="nil"/>
              <w:left w:val="nil"/>
              <w:bottom w:val="nil"/>
              <w:right w:val="nil"/>
            </w:tcBorders>
            <w:vAlign w:val="center"/>
          </w:tcPr>
          <w:p>
            <w:pPr>
              <w:ind w:left="150"/>
              <w:jc w:val="center"/>
            </w:pPr>
            <w:r>
              <w:rPr>
                <w:rFonts w:ascii="黑体" w:hAnsi="黑体" w:eastAsia="黑体" w:cs="黑体"/>
                <w:position w:val="15"/>
                <w:sz w:val="28"/>
              </w:rPr>
              <w:t>国有资本经营预算支出情况表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5393" w:type="dxa"/>
            <w:gridSpan w:val="4"/>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：皮山县皮亚勒玛乡中心小学</w:t>
            </w:r>
          </w:p>
        </w:tc>
        <w:tc>
          <w:tcPr>
            <w:tcW w:w="3007"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5393" w:type="dxa"/>
            <w:gridSpan w:val="4"/>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w:t>
            </w:r>
          </w:p>
        </w:tc>
        <w:tc>
          <w:tcPr>
            <w:tcW w:w="300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239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功能分类科目编码</w:t>
            </w:r>
          </w:p>
        </w:tc>
        <w:tc>
          <w:tcPr>
            <w:tcW w:w="299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功能分类科目名称</w:t>
            </w:r>
          </w:p>
        </w:tc>
        <w:tc>
          <w:tcPr>
            <w:tcW w:w="84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  计</w:t>
            </w:r>
          </w:p>
        </w:tc>
        <w:tc>
          <w:tcPr>
            <w:tcW w:w="108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基本支出</w:t>
            </w:r>
          </w:p>
        </w:tc>
        <w:tc>
          <w:tcPr>
            <w:tcW w:w="108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项目支出</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类</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款</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项</w:t>
            </w:r>
          </w:p>
        </w:tc>
        <w:tc>
          <w:tcPr>
            <w:tcW w:w="2995" w:type="dxa"/>
            <w:vMerge w:val="continue"/>
          </w:tcPr>
          <w:p/>
        </w:tc>
        <w:tc>
          <w:tcPr>
            <w:tcW w:w="840" w:type="dxa"/>
            <w:vMerge w:val="continue"/>
          </w:tcPr>
          <w:p/>
        </w:tc>
        <w:tc>
          <w:tcPr>
            <w:tcW w:w="1083" w:type="dxa"/>
            <w:vMerge w:val="continue"/>
          </w:tcPr>
          <w:p/>
        </w:tc>
        <w:tc>
          <w:tcPr>
            <w:tcW w:w="1084" w:type="dxa"/>
            <w:vMerge w:val="continue"/>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7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800"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79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w:t>
            </w:r>
          </w:p>
        </w:tc>
        <w:tc>
          <w:tcPr>
            <w:tcW w:w="2995"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合  计</w:t>
            </w:r>
          </w:p>
        </w:tc>
        <w:tc>
          <w:tcPr>
            <w:tcW w:w="84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083" w:type="dxa"/>
            <w:tcBorders>
              <w:top w:val="single" w:color="auto" w:sz="0" w:space="0"/>
              <w:left w:val="single" w:color="auto" w:sz="0" w:space="0"/>
              <w:bottom w:val="single" w:color="auto" w:sz="0" w:space="0"/>
              <w:right w:val="single" w:color="auto" w:sz="0" w:space="0"/>
            </w:tcBorders>
            <w:vAlign w:val="center"/>
          </w:tcPr>
          <w:p>
            <w:pPr>
              <w:ind w:left="30"/>
              <w:jc w:val="right"/>
            </w:pPr>
          </w:p>
        </w:tc>
        <w:tc>
          <w:tcPr>
            <w:tcW w:w="1084" w:type="dxa"/>
            <w:tcBorders>
              <w:top w:val="single" w:color="auto" w:sz="0" w:space="0"/>
              <w:left w:val="single" w:color="auto" w:sz="0" w:space="0"/>
              <w:bottom w:val="single" w:color="auto" w:sz="0" w:space="0"/>
              <w:right w:val="single" w:color="auto" w:sz="0" w:space="0"/>
            </w:tcBorders>
            <w:vAlign w:val="center"/>
          </w:tcPr>
          <w:p>
            <w:pPr>
              <w:ind w:left="30"/>
              <w:jc w:val="righ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9" w:type="dxa"/>
          </w:tcPr>
          <w:p/>
        </w:tc>
        <w:tc>
          <w:tcPr>
            <w:tcW w:w="800" w:type="dxa"/>
          </w:tcPr>
          <w:p/>
        </w:tc>
        <w:tc>
          <w:tcPr>
            <w:tcW w:w="799" w:type="dxa"/>
          </w:tcPr>
          <w:p/>
        </w:tc>
        <w:tc>
          <w:tcPr>
            <w:tcW w:w="2995" w:type="dxa"/>
          </w:tcPr>
          <w:p/>
        </w:tc>
        <w:tc>
          <w:tcPr>
            <w:tcW w:w="840" w:type="dxa"/>
          </w:tcPr>
          <w:p/>
        </w:tc>
        <w:tc>
          <w:tcPr>
            <w:tcW w:w="1083" w:type="dxa"/>
          </w:tcPr>
          <w:p/>
        </w:tc>
        <w:tc>
          <w:tcPr>
            <w:tcW w:w="10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9" w:type="dxa"/>
          </w:tcPr>
          <w:p/>
        </w:tc>
        <w:tc>
          <w:tcPr>
            <w:tcW w:w="800" w:type="dxa"/>
          </w:tcPr>
          <w:p/>
        </w:tc>
        <w:tc>
          <w:tcPr>
            <w:tcW w:w="799" w:type="dxa"/>
          </w:tcPr>
          <w:p/>
        </w:tc>
        <w:tc>
          <w:tcPr>
            <w:tcW w:w="2995" w:type="dxa"/>
          </w:tcPr>
          <w:p/>
        </w:tc>
        <w:tc>
          <w:tcPr>
            <w:tcW w:w="840" w:type="dxa"/>
          </w:tcPr>
          <w:p/>
        </w:tc>
        <w:tc>
          <w:tcPr>
            <w:tcW w:w="1083" w:type="dxa"/>
          </w:tcPr>
          <w:p/>
        </w:tc>
        <w:tc>
          <w:tcPr>
            <w:tcW w:w="10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9" w:type="dxa"/>
          </w:tcPr>
          <w:p/>
        </w:tc>
        <w:tc>
          <w:tcPr>
            <w:tcW w:w="800" w:type="dxa"/>
          </w:tcPr>
          <w:p/>
        </w:tc>
        <w:tc>
          <w:tcPr>
            <w:tcW w:w="799" w:type="dxa"/>
          </w:tcPr>
          <w:p/>
        </w:tc>
        <w:tc>
          <w:tcPr>
            <w:tcW w:w="2995" w:type="dxa"/>
          </w:tcPr>
          <w:p/>
        </w:tc>
        <w:tc>
          <w:tcPr>
            <w:tcW w:w="840" w:type="dxa"/>
          </w:tcPr>
          <w:p/>
        </w:tc>
        <w:tc>
          <w:tcPr>
            <w:tcW w:w="1083" w:type="dxa"/>
          </w:tcPr>
          <w:p/>
        </w:tc>
        <w:tc>
          <w:tcPr>
            <w:tcW w:w="10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9" w:type="dxa"/>
          </w:tcPr>
          <w:p/>
        </w:tc>
        <w:tc>
          <w:tcPr>
            <w:tcW w:w="800" w:type="dxa"/>
          </w:tcPr>
          <w:p/>
        </w:tc>
        <w:tc>
          <w:tcPr>
            <w:tcW w:w="799" w:type="dxa"/>
          </w:tcPr>
          <w:p/>
        </w:tc>
        <w:tc>
          <w:tcPr>
            <w:tcW w:w="2995" w:type="dxa"/>
          </w:tcPr>
          <w:p/>
        </w:tc>
        <w:tc>
          <w:tcPr>
            <w:tcW w:w="840" w:type="dxa"/>
          </w:tcPr>
          <w:p/>
        </w:tc>
        <w:tc>
          <w:tcPr>
            <w:tcW w:w="1083" w:type="dxa"/>
          </w:tcPr>
          <w:p/>
        </w:tc>
        <w:tc>
          <w:tcPr>
            <w:tcW w:w="10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799" w:type="dxa"/>
          </w:tcPr>
          <w:p/>
        </w:tc>
        <w:tc>
          <w:tcPr>
            <w:tcW w:w="800" w:type="dxa"/>
          </w:tcPr>
          <w:p/>
        </w:tc>
        <w:tc>
          <w:tcPr>
            <w:tcW w:w="799" w:type="dxa"/>
          </w:tcPr>
          <w:p/>
        </w:tc>
        <w:tc>
          <w:tcPr>
            <w:tcW w:w="2995" w:type="dxa"/>
          </w:tcPr>
          <w:p/>
        </w:tc>
        <w:tc>
          <w:tcPr>
            <w:tcW w:w="840" w:type="dxa"/>
          </w:tcPr>
          <w:p/>
        </w:tc>
        <w:tc>
          <w:tcPr>
            <w:tcW w:w="1083" w:type="dxa"/>
          </w:tcPr>
          <w:p/>
        </w:tc>
        <w:tc>
          <w:tcPr>
            <w:tcW w:w="1084" w:type="dxa"/>
          </w:tc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PrEx>
        <w:tc>
          <w:tcPr>
            <w:tcW w:w="8400" w:type="dxa"/>
            <w:gridSpan w:val="7"/>
            <w:tcBorders>
              <w:left w:val="nil"/>
              <w:bottom w:val="nil"/>
              <w:right w:val="nil"/>
            </w:tcBorders>
            <w:vAlign w:val="center"/>
          </w:tcPr>
          <w:p>
            <w:pPr>
              <w:ind w:left="150"/>
              <w:jc w:val="left"/>
            </w:pPr>
            <w:r>
              <w:rPr>
                <w:rFonts w:ascii="仿宋" w:hAnsi="仿宋" w:eastAsia="仿宋" w:cs="仿宋"/>
                <w:position w:val="8"/>
                <w:sz w:val="20"/>
              </w:rPr>
              <w:t>皮山县皮亚勒玛乡中心小学2023年没有安排国有资本经营预算的支出。</w:t>
            </w:r>
          </w:p>
        </w:tc>
      </w:tr>
    </w:tbl>
    <w:p>
      <w:pPr>
        <w:sectPr>
          <w:cols w:space="720" w:num="1"/>
        </w:sect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4239"/>
        <w:gridCol w:w="543"/>
        <w:gridCol w:w="1149"/>
        <w:gridCol w:w="978"/>
        <w:gridCol w:w="1491"/>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top w:val="nil"/>
              <w:left w:val="nil"/>
              <w:bottom w:val="nil"/>
              <w:right w:val="nil"/>
            </w:tcBorders>
            <w:vAlign w:val="center"/>
          </w:tcPr>
          <w:p>
            <w:pPr>
              <w:ind w:left="150"/>
              <w:jc w:val="left"/>
            </w:pPr>
            <w:r>
              <w:rPr>
                <w:rFonts w:ascii="仿宋" w:hAnsi="仿宋" w:eastAsia="仿宋" w:cs="仿宋"/>
                <w:position w:val="8"/>
                <w:sz w:val="20"/>
              </w:rPr>
              <w:t>表10</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top w:val="nil"/>
              <w:left w:val="nil"/>
              <w:bottom w:val="nil"/>
              <w:right w:val="nil"/>
            </w:tcBorders>
            <w:vAlign w:val="center"/>
          </w:tcPr>
          <w:p>
            <w:pPr>
              <w:ind w:left="150"/>
              <w:jc w:val="center"/>
            </w:pPr>
            <w:r>
              <w:rPr>
                <w:rFonts w:ascii="黑体" w:hAnsi="黑体" w:eastAsia="黑体" w:cs="黑体"/>
                <w:position w:val="15"/>
                <w:sz w:val="28"/>
              </w:rPr>
              <w:t>财政拨款“三公”经费支出情况表</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782" w:type="dxa"/>
            <w:gridSpan w:val="2"/>
            <w:tcBorders>
              <w:top w:val="nil"/>
              <w:left w:val="nil"/>
              <w:right w:val="nil"/>
            </w:tcBorders>
            <w:vAlign w:val="center"/>
          </w:tcPr>
          <w:p>
            <w:pPr>
              <w:ind w:left="150"/>
              <w:jc w:val="left"/>
            </w:pPr>
            <w:r>
              <w:rPr>
                <w:rFonts w:hint="eastAsia" w:ascii="仿宋" w:hAnsi="仿宋" w:eastAsia="仿宋" w:cs="仿宋"/>
                <w:position w:val="8"/>
                <w:sz w:val="20"/>
                <w:lang w:eastAsia="zh-CN"/>
              </w:rPr>
              <w:t>编制部门</w:t>
            </w:r>
            <w:r>
              <w:rPr>
                <w:rFonts w:ascii="仿宋" w:hAnsi="仿宋" w:eastAsia="仿宋" w:cs="仿宋"/>
                <w:position w:val="8"/>
                <w:sz w:val="20"/>
              </w:rPr>
              <w:t>：皮山县皮亚勒玛乡中心小学</w:t>
            </w:r>
          </w:p>
        </w:tc>
        <w:tc>
          <w:tcPr>
            <w:tcW w:w="3618" w:type="dxa"/>
            <w:gridSpan w:val="3"/>
            <w:tcBorders>
              <w:top w:val="nil"/>
              <w:left w:val="nil"/>
              <w:right w:val="nil"/>
            </w:tcBorders>
            <w:vAlign w:val="center"/>
          </w:tcPr>
          <w:p>
            <w:pPr>
              <w:ind w:left="150"/>
              <w:jc w:val="right"/>
            </w:pPr>
            <w:r>
              <w:rPr>
                <w:rFonts w:ascii="仿宋" w:hAnsi="仿宋" w:eastAsia="仿宋" w:cs="仿宋"/>
                <w:position w:val="8"/>
                <w:sz w:val="20"/>
              </w:rPr>
              <w:t>单位:万元</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39"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三公支出内容</w:t>
            </w:r>
          </w:p>
        </w:tc>
        <w:tc>
          <w:tcPr>
            <w:tcW w:w="54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合计</w:t>
            </w:r>
          </w:p>
        </w:tc>
        <w:tc>
          <w:tcPr>
            <w:tcW w:w="361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资金来源</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39" w:type="dxa"/>
            <w:vMerge w:val="continue"/>
          </w:tcPr>
          <w:p/>
        </w:tc>
        <w:tc>
          <w:tcPr>
            <w:tcW w:w="543" w:type="dxa"/>
            <w:vMerge w:val="continue"/>
          </w:tcPr>
          <w:p/>
        </w:tc>
        <w:tc>
          <w:tcPr>
            <w:tcW w:w="114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一般公共预算</w:t>
            </w:r>
          </w:p>
        </w:tc>
        <w:tc>
          <w:tcPr>
            <w:tcW w:w="97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政府性基金</w:t>
            </w:r>
          </w:p>
        </w:tc>
        <w:tc>
          <w:tcPr>
            <w:tcW w:w="14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黑体" w:hAnsi="黑体" w:eastAsia="黑体" w:cs="黑体"/>
                <w:position w:val="10"/>
                <w:sz w:val="20"/>
              </w:rPr>
              <w:t>国有资本经营预算</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合计</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9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因公出国(境)费用</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9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公务接待费</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9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公务用车购置及运行费（小计）</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9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其中：公务用车购置费</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9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4239" w:type="dxa"/>
            <w:tcBorders>
              <w:top w:val="single" w:color="auto" w:sz="0" w:space="0"/>
              <w:left w:val="single" w:color="auto" w:sz="0" w:space="0"/>
              <w:bottom w:val="single" w:color="auto" w:sz="0" w:space="0"/>
              <w:right w:val="single" w:color="auto" w:sz="0" w:space="0"/>
            </w:tcBorders>
            <w:vAlign w:val="center"/>
          </w:tcPr>
          <w:p>
            <w:pPr>
              <w:ind w:left="30"/>
              <w:jc w:val="left"/>
            </w:pPr>
            <w:r>
              <w:rPr>
                <w:rFonts w:ascii="仿宋" w:hAnsi="仿宋" w:eastAsia="仿宋" w:cs="仿宋"/>
                <w:position w:val="8"/>
                <w:sz w:val="20"/>
              </w:rPr>
              <w:t xml:space="preserve">               公务用车运行费</w:t>
            </w:r>
          </w:p>
        </w:tc>
        <w:tc>
          <w:tcPr>
            <w:tcW w:w="543"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149"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978"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c>
          <w:tcPr>
            <w:tcW w:w="1491" w:type="dxa"/>
            <w:tcBorders>
              <w:top w:val="single" w:color="auto" w:sz="0" w:space="0"/>
              <w:left w:val="single" w:color="auto" w:sz="0" w:space="0"/>
              <w:bottom w:val="single" w:color="auto" w:sz="0" w:space="0"/>
              <w:right w:val="single" w:color="auto" w:sz="0" w:space="0"/>
            </w:tcBorders>
            <w:vAlign w:val="center"/>
          </w:tcPr>
          <w:p>
            <w:pPr>
              <w:ind w:left="30"/>
              <w:jc w:val="right"/>
            </w:pPr>
            <w:r>
              <w:rPr>
                <w:rFonts w:ascii="黑体" w:hAnsi="黑体" w:eastAsia="黑体" w:cs="黑体"/>
                <w:position w:val="8"/>
                <w:sz w:val="16"/>
              </w:rPr>
              <w:t xml:space="preserve"> </w:t>
            </w: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400" w:type="dxa"/>
            <w:gridSpan w:val="5"/>
            <w:tcBorders>
              <w:left w:val="nil"/>
              <w:bottom w:val="nil"/>
              <w:right w:val="nil"/>
            </w:tcBorders>
            <w:vAlign w:val="center"/>
          </w:tcPr>
          <w:p>
            <w:pPr>
              <w:ind w:left="150"/>
              <w:jc w:val="left"/>
            </w:pPr>
            <w:r>
              <w:rPr>
                <w:rFonts w:ascii="仿宋" w:hAnsi="仿宋" w:eastAsia="仿宋" w:cs="仿宋"/>
                <w:position w:val="8"/>
                <w:sz w:val="20"/>
              </w:rPr>
              <w:t>皮山县皮亚勒玛乡中心小学2023年没有使用财政拨款“三公”经费安排的支出。</w:t>
            </w:r>
          </w:p>
        </w:tc>
      </w:tr>
    </w:tbl>
    <w:p>
      <w:pPr>
        <w:sectPr>
          <w:cols w:space="720" w:num="1"/>
        </w:sectPr>
      </w:pPr>
      <w:r>
        <w:br w:type="textWrapping"/>
      </w:r>
    </w:p>
    <w:p>
      <w:pPr>
        <w:ind w:left="200" w:right="200" w:firstLine="500"/>
        <w:jc w:val="center"/>
      </w:pPr>
      <w:r>
        <w:rPr>
          <w:rFonts w:ascii="黑体" w:hAnsi="黑体" w:eastAsia="黑体" w:cs="黑体"/>
          <w:position w:val="30"/>
          <w:sz w:val="42"/>
        </w:rPr>
        <w:t>第三部分 2023年单位预算情况说明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一、关于皮山县皮亚勒玛乡中心小学2023年收支预算情况的总体说明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按照全口径预算的原则，皮山县皮亚勒玛乡中心小学2023年所有收入和支出均纳入单位预算管理。收支总预算1623.73万元。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收入预算包括：一般公共预算、财政拨款。</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支出预算包括：教育支出。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二、关于皮山县皮亚勒玛乡中心小学2023年收入预算情况说明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皮山县皮亚勒玛乡中心小学收入预算1623.73万元，其中：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一般公共预算1147.75万元，占70.69%，比上年预算增加26.29万元，增长2.34%，主要原因是因调整岗位，工资津贴增加，2023年预算中基础绩效奖调整。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上级一般公共预算安排的转移支付资金356.13万元，占21.93%，比上年预算增加356.13万元，增长100.00%，主要原因是2022年年初预算时，未将上级转移支付资金纳入预算数，2023年将上级转移支付资金纳入年初预算。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政府性基金预算未安排。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上级政府性基金安排的转移支付资金未安排。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国有资本经营预算未安排。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上级国有资本经营预算安排的转移支付资金未安排。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财政拨款结转119.85万元，占7.38%，比上年预算增加119.85万元，增长100.00%，主要原因是2022年9月疫情原因学校未开学、未进行支付，将剩余资金119.85万元结转到2023年。</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三、关于皮山县皮亚勒玛乡中心小学2023年支出预算情况说明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皮山县皮亚勒玛乡中心小学2023年支出预算1623.73万元，其中：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基本支出1147.75万元，占70.69%，比上年预算增加1147.75万元，增长100.00%，主要原因是调整基础</w:t>
      </w:r>
      <w:r>
        <w:rPr>
          <w:rFonts w:hint="eastAsia" w:ascii="仿宋" w:hAnsi="仿宋" w:eastAsia="仿宋" w:cs="仿宋"/>
          <w:position w:val="10"/>
          <w:sz w:val="32"/>
          <w:szCs w:val="32"/>
          <w:lang w:val="en-US" w:eastAsia="zh-CN"/>
        </w:rPr>
        <w:t>绩效</w:t>
      </w:r>
      <w:r>
        <w:rPr>
          <w:rFonts w:ascii="仿宋" w:hAnsi="仿宋" w:eastAsia="仿宋" w:cs="仿宋"/>
          <w:position w:val="10"/>
          <w:sz w:val="32"/>
          <w:szCs w:val="32"/>
        </w:rPr>
        <w:t>奖工资，调整岗位，工资津贴增加，2023年预算中基础绩效奖调整。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475.98万元，占29.31%，比上年预算增加475.98万元，增长100.00%，主要原因是2022年年初预算时，未将上级转移支付资金纳入预算数，2023年将上级转移支付资金纳入年初预算，2022年9月疫情原因学校未开学、未进行支付，将剩余资金119.85万元结转到2023年。</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四、关于皮山县皮亚勒玛乡中心小学2023年财政拨款收支预算情况的总体说明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2023年财政拨款收支总预算1503.88万元。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收入全部为一般公共预算拨款，无政府性基金预算拨款和国有资本经营预算。</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收入预算包括：一般公共预算拨款1503.88万元。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一般公共预算支出包括：教育支出1503.88万元，主要用于教师工资，学校取暖费，伙食费正常开展教育教学工作。</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五、关于皮山县皮亚勒玛乡中心小学2023年一般公共预算当年拨款情况说明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（一）一般公共预算当年拨款规模变化情况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皮山县皮亚勒玛乡中心小学2023年一般公共预算拨款合计1503.88万元，其中：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基本支出1147.75万元，比上年预算增加1147.75万元，增长100.00%。主要原因是：调整岗位，工资津贴增加，2023年预算中基础绩效奖调整。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项目支出356.13万元，比上年预算增加356.13万元，增长100.00%。主要原因是：2022年年初预算时，未将上级转移支付资金纳入预算数，2023年将上级转移支付资金纳入年初预算。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（二）一般公共预算当年拨款结构情况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1.教育支出（类）1503.88万元，占100.00%。</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（三）一般公共预算当年拨款具体使用情况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教育支出（类）普通教育（款）小学教育（项）:2023年预算数为1503.88万元，比上年预算数增加1503.88万元，增长100.00%，主要原因是：调整岗位，工资津贴增加，2022年年初预算时，未将上级转移支付资金纳入预算数，2023年将上级转移支付资金纳入年初预算。</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六、关于皮山县皮亚勒玛乡中心小学2023年一般公共预算基本支出情况说明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皮山县皮亚勒玛乡中心小学2023年一般公共预算基本支出1147.75万元，其中：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人员经费1147.75万元，主要包括：基本工资、津贴补贴、奖金、绩效工资、机关事业单位基本养老保险缴费、职业年金缴费、城镇职工基本医疗保险缴费、其他社会保障缴费、住房公积金、退休费、生活补助、奖励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公用经费0万元，主要包括：无。</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七、关于皮山县皮亚勒玛乡中心小学2023年一般公共预算项目支出情况说明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1.项目名称：2023年城乡义务教育补助经费-特殊教育补助 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预算安排规模：1.0079万元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项目承担单位：皮山县皮亚勒玛乡中心小学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2.项目名称：2023年城乡义务教育补助经费-特殊教育补助 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预算安排规模：4.6183万元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项目承担单位：皮山县皮亚勒玛乡中心小学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3.项目名称：2023年城乡义务教育补助经费-公用经费 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预算安排规模：86.0952万元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项目承担单位：皮山县皮亚勒玛乡中心小学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4.项目名称：2023年城乡义务教育补助经费-公用经费 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预算安排规模：18.2301万元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项目承担单位：皮山县皮亚勒玛乡中心小学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5.项目名称：2023年城乡义务教育补助经费-新增教师工资性补助 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预算安排规模：75.8957万元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项目承担单位：皮山县皮亚勒玛乡中心小学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6.项目名称：2023年城乡义务教育补助经费-家庭经济困难学生综合奖补 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预算安排规模：32.055万元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项目承担单位：皮山县皮亚勒玛乡中心小学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w:t>
      </w:r>
      <w:bookmarkStart w:id="1" w:name="OLE_LINK2"/>
      <w:r>
        <w:rPr>
          <w:rFonts w:ascii="仿宋" w:hAnsi="仿宋" w:eastAsia="仿宋" w:cs="仿宋"/>
          <w:position w:val="10"/>
          <w:sz w:val="32"/>
          <w:szCs w:val="32"/>
        </w:rPr>
        <w:t>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bookmarkEnd w:id="1"/>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资金来源：上级</w:t>
      </w:r>
      <w:r>
        <w:rPr>
          <w:rFonts w:hint="eastAsia" w:ascii="仿宋" w:hAnsi="仿宋" w:eastAsia="仿宋" w:cs="仿宋"/>
          <w:position w:val="10"/>
          <w:sz w:val="32"/>
          <w:szCs w:val="32"/>
          <w:lang w:eastAsia="zh-CN"/>
        </w:rPr>
        <w:t>一般性转移支付</w:t>
      </w:r>
      <w:r>
        <w:rPr>
          <w:rFonts w:ascii="仿宋" w:hAnsi="仿宋" w:eastAsia="仿宋" w:cs="仿宋"/>
          <w:position w:val="10"/>
          <w:sz w:val="32"/>
          <w:szCs w:val="32"/>
        </w:rPr>
        <w:t>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补贴人数：523</w:t>
      </w:r>
      <w:r>
        <w:rPr>
          <w:rFonts w:hint="eastAsia" w:ascii="仿宋" w:hAnsi="仿宋" w:eastAsia="仿宋" w:cs="仿宋"/>
          <w:position w:val="10"/>
          <w:sz w:val="32"/>
          <w:szCs w:val="32"/>
          <w:lang w:val="en-US"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补贴标准：1250元/人/年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bookmarkStart w:id="2" w:name="OLE_LINK3"/>
      <w:r>
        <w:rPr>
          <w:rFonts w:ascii="仿宋" w:hAnsi="仿宋" w:eastAsia="仿宋" w:cs="仿宋"/>
          <w:position w:val="10"/>
          <w:sz w:val="32"/>
          <w:szCs w:val="32"/>
        </w:rPr>
        <w:t>补贴范围：学校寄宿生学生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补贴方式：学校学生食堂就餐</w:t>
      </w:r>
      <w:r>
        <w:rPr>
          <w:rFonts w:hint="eastAsia" w:ascii="仿宋" w:hAnsi="仿宋" w:eastAsia="仿宋" w:cs="仿宋"/>
          <w:position w:val="10"/>
          <w:sz w:val="32"/>
          <w:szCs w:val="32"/>
          <w:lang w:val="en-US" w:eastAsia="zh-CN"/>
        </w:rPr>
        <w:t>伙食费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发放程序：学校学生食堂早晚就餐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受益人群和社会效益：家庭经济困难</w:t>
      </w:r>
      <w:r>
        <w:rPr>
          <w:rFonts w:hint="eastAsia" w:ascii="仿宋" w:hAnsi="仿宋" w:eastAsia="仿宋" w:cs="仿宋"/>
          <w:position w:val="10"/>
          <w:sz w:val="32"/>
          <w:szCs w:val="32"/>
          <w:lang w:val="en-US" w:eastAsia="zh-CN"/>
        </w:rPr>
        <w:t>寄宿生</w:t>
      </w:r>
      <w:r>
        <w:rPr>
          <w:rFonts w:ascii="仿宋" w:hAnsi="仿宋" w:eastAsia="仿宋" w:cs="仿宋"/>
          <w:position w:val="10"/>
          <w:sz w:val="32"/>
          <w:szCs w:val="32"/>
        </w:rPr>
        <w:t>学生生活补助</w:t>
      </w:r>
    </w:p>
    <w:bookmarkEnd w:id="2"/>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7.项目名称：2023年城乡义务教育补助经费-家庭经济困难学生生活补助 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〔2022〕75号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预算安排规模：29.6万元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项目承担单位：皮山县皮亚勒玛乡中心小学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w:t>
      </w:r>
      <w:bookmarkStart w:id="3" w:name="OLE_LINK4"/>
      <w:r>
        <w:rPr>
          <w:rFonts w:ascii="仿宋" w:hAnsi="仿宋" w:eastAsia="仿宋" w:cs="仿宋"/>
          <w:position w:val="10"/>
          <w:sz w:val="32"/>
          <w:szCs w:val="32"/>
        </w:rPr>
        <w:t>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bookmarkEnd w:id="3"/>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资金来源：上级</w:t>
      </w:r>
      <w:r>
        <w:rPr>
          <w:rFonts w:hint="eastAsia" w:ascii="仿宋" w:hAnsi="仿宋" w:eastAsia="仿宋" w:cs="仿宋"/>
          <w:position w:val="10"/>
          <w:sz w:val="32"/>
          <w:szCs w:val="32"/>
          <w:lang w:eastAsia="zh-CN"/>
        </w:rPr>
        <w:t>一般性转移支付</w:t>
      </w:r>
      <w:r>
        <w:rPr>
          <w:rFonts w:ascii="仿宋" w:hAnsi="仿宋" w:eastAsia="仿宋" w:cs="仿宋"/>
          <w:position w:val="10"/>
          <w:sz w:val="32"/>
          <w:szCs w:val="32"/>
        </w:rPr>
        <w:t>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补贴人数：523</w:t>
      </w:r>
      <w:r>
        <w:rPr>
          <w:rFonts w:hint="eastAsia" w:ascii="仿宋" w:hAnsi="仿宋" w:eastAsia="仿宋" w:cs="仿宋"/>
          <w:position w:val="10"/>
          <w:sz w:val="32"/>
          <w:szCs w:val="32"/>
          <w:lang w:val="en-US"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补贴标准：1250元/人/年。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补贴范围：学校寄宿生学生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补贴方式：学校学生食堂就餐</w:t>
      </w:r>
      <w:r>
        <w:rPr>
          <w:rFonts w:hint="eastAsia" w:ascii="仿宋" w:hAnsi="仿宋" w:eastAsia="仿宋" w:cs="仿宋"/>
          <w:position w:val="10"/>
          <w:sz w:val="32"/>
          <w:szCs w:val="32"/>
          <w:lang w:val="en-US" w:eastAsia="zh-CN"/>
        </w:rPr>
        <w:t>伙食费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发放程序：学校学生食堂早晚就餐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受益人群和社会效益：家庭经济困难</w:t>
      </w:r>
      <w:r>
        <w:rPr>
          <w:rFonts w:hint="eastAsia" w:ascii="仿宋" w:hAnsi="仿宋" w:eastAsia="仿宋" w:cs="仿宋"/>
          <w:position w:val="10"/>
          <w:sz w:val="32"/>
          <w:szCs w:val="32"/>
          <w:lang w:val="en-US" w:eastAsia="zh-CN"/>
        </w:rPr>
        <w:t>寄宿生</w:t>
      </w:r>
      <w:r>
        <w:rPr>
          <w:rFonts w:ascii="仿宋" w:hAnsi="仿宋" w:eastAsia="仿宋" w:cs="仿宋"/>
          <w:position w:val="10"/>
          <w:sz w:val="32"/>
          <w:szCs w:val="32"/>
        </w:rPr>
        <w:t>学生生活补助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8.项目名称：2023年城乡义务教育补助经费-农村学生营养改善补助 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设立的政策依据：和地财教</w:t>
      </w:r>
      <w:r>
        <w:rPr>
          <w:rFonts w:hint="eastAsia" w:ascii="仿宋" w:hAnsi="仿宋" w:eastAsia="仿宋" w:cs="仿宋"/>
          <w:position w:val="10"/>
          <w:sz w:val="32"/>
          <w:szCs w:val="32"/>
          <w:lang w:eastAsia="zh-CN"/>
        </w:rPr>
        <w:t>〔2022〕70号</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预算安排规模：108.605万元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项目承担单位：皮山县皮亚勒玛乡中心小学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资金分配情况：全额分配</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资金执行时间：2023年1月1日</w:t>
      </w:r>
      <w:r>
        <w:rPr>
          <w:rFonts w:hint="eastAsia" w:ascii="仿宋" w:hAnsi="仿宋" w:eastAsia="仿宋" w:cs="仿宋"/>
          <w:position w:val="10"/>
          <w:sz w:val="32"/>
          <w:szCs w:val="32"/>
          <w:lang w:val="en-US" w:eastAsia="zh-CN"/>
        </w:rPr>
        <w:t>至</w:t>
      </w:r>
      <w:r>
        <w:rPr>
          <w:rFonts w:ascii="仿宋" w:hAnsi="仿宋" w:eastAsia="仿宋" w:cs="仿宋"/>
          <w:position w:val="10"/>
          <w:sz w:val="32"/>
          <w:szCs w:val="32"/>
        </w:rPr>
        <w:t>2023年12月31日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资金来源：上级</w:t>
      </w:r>
      <w:r>
        <w:rPr>
          <w:rFonts w:hint="eastAsia" w:ascii="仿宋" w:hAnsi="仿宋" w:eastAsia="仿宋" w:cs="仿宋"/>
          <w:position w:val="10"/>
          <w:sz w:val="32"/>
          <w:szCs w:val="32"/>
          <w:lang w:eastAsia="zh-CN"/>
        </w:rPr>
        <w:t>一般性转移支付</w:t>
      </w:r>
      <w:r>
        <w:rPr>
          <w:rFonts w:ascii="仿宋" w:hAnsi="仿宋" w:eastAsia="仿宋" w:cs="仿宋"/>
          <w:position w:val="10"/>
          <w:sz w:val="32"/>
          <w:szCs w:val="32"/>
        </w:rPr>
        <w:t>资金</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补贴人数：1296</w:t>
      </w:r>
      <w:r>
        <w:rPr>
          <w:rFonts w:hint="eastAsia" w:ascii="仿宋" w:hAnsi="仿宋" w:eastAsia="仿宋" w:cs="仿宋"/>
          <w:position w:val="10"/>
          <w:sz w:val="32"/>
          <w:szCs w:val="32"/>
          <w:lang w:val="en-US" w:eastAsia="zh-CN"/>
        </w:rPr>
        <w:t>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补贴标准：1000元/人/年</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补贴范围：学校</w:t>
      </w:r>
      <w:r>
        <w:rPr>
          <w:rFonts w:hint="eastAsia" w:ascii="仿宋" w:hAnsi="仿宋" w:eastAsia="仿宋" w:cs="仿宋"/>
          <w:position w:val="10"/>
          <w:sz w:val="32"/>
          <w:szCs w:val="32"/>
          <w:lang w:eastAsia="zh-CN"/>
        </w:rPr>
        <w:t>全体</w:t>
      </w:r>
      <w:r>
        <w:rPr>
          <w:rFonts w:ascii="仿宋" w:hAnsi="仿宋" w:eastAsia="仿宋" w:cs="仿宋"/>
          <w:position w:val="10"/>
          <w:sz w:val="32"/>
          <w:szCs w:val="32"/>
        </w:rPr>
        <w:t>学生</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eastAsia="仿宋"/>
          <w:sz w:val="32"/>
          <w:szCs w:val="32"/>
          <w:lang w:eastAsia="zh-CN"/>
        </w:rPr>
      </w:pPr>
      <w:r>
        <w:rPr>
          <w:rFonts w:ascii="仿宋" w:hAnsi="仿宋" w:eastAsia="仿宋" w:cs="仿宋"/>
          <w:position w:val="10"/>
          <w:sz w:val="32"/>
          <w:szCs w:val="32"/>
        </w:rPr>
        <w:t>补贴方式：学生食堂就餐</w:t>
      </w:r>
      <w:r>
        <w:rPr>
          <w:rFonts w:hint="eastAsia" w:ascii="仿宋" w:hAnsi="仿宋" w:eastAsia="仿宋" w:cs="仿宋"/>
          <w:position w:val="10"/>
          <w:sz w:val="32"/>
          <w:szCs w:val="32"/>
          <w:lang w:val="en-US" w:eastAsia="zh-CN"/>
        </w:rPr>
        <w:t>伙食费</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发放程序：学生食堂中午就餐</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受益人群和社会效益：农村学生营养改善补助</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八、关于皮山县皮亚勒玛乡中心小学2023年政府性基金预算拨款情况说明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皮山县皮亚勒玛乡中心小学2023年没有使用政府性基金预算拨款安排的支出。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九、关于皮山县皮亚勒玛乡中心小学2023年国有资本经营预算拨款情况说明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皮山县皮亚勒玛乡中心小学2023年没有使用国有资本经营预算拨款安排的支出。</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十、关于皮山县皮亚勒玛乡中心小学2023年财政拨款“三公”经费预算情况说明</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皮山县皮亚勒玛乡中心小学2023年财政拨款“三公”经费数为0万元，其中：因公出国（境）费0万元，公务用车购置费0万元，公务用车运行费0万元，公务接待费0万元。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2023年财政拨款“三公”经费比上年预算增加0万元，增长0%，其中：</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因公出国（境）费增加0万元，增长0%，主要原因是我校本年度</w:t>
      </w:r>
      <w:r>
        <w:rPr>
          <w:rFonts w:hint="eastAsia" w:ascii="仿宋" w:hAnsi="仿宋" w:eastAsia="仿宋" w:cs="仿宋"/>
          <w:position w:val="10"/>
          <w:sz w:val="32"/>
          <w:szCs w:val="32"/>
          <w:lang w:eastAsia="zh-CN"/>
        </w:rPr>
        <w:t>与</w:t>
      </w:r>
      <w:r>
        <w:rPr>
          <w:rFonts w:ascii="仿宋" w:hAnsi="仿宋" w:eastAsia="仿宋" w:cs="仿宋"/>
          <w:position w:val="10"/>
          <w:sz w:val="32"/>
          <w:szCs w:val="32"/>
        </w:rPr>
        <w:t>上年均无因公出国（境）费</w:t>
      </w:r>
      <w:r>
        <w:rPr>
          <w:rFonts w:hint="eastAsia" w:ascii="仿宋" w:hAnsi="仿宋" w:eastAsia="仿宋" w:cs="仿宋"/>
          <w:position w:val="10"/>
          <w:sz w:val="32"/>
          <w:szCs w:val="32"/>
          <w:lang w:eastAsia="zh-CN"/>
        </w:rPr>
        <w:t>，</w:t>
      </w:r>
      <w:r>
        <w:rPr>
          <w:rFonts w:ascii="仿宋" w:hAnsi="仿宋" w:eastAsia="仿宋" w:cs="仿宋"/>
          <w:position w:val="10"/>
          <w:sz w:val="32"/>
          <w:szCs w:val="32"/>
        </w:rPr>
        <w:t>公务用车购置费增加0万元，增长0%，主要原因是我校本年度</w:t>
      </w:r>
      <w:r>
        <w:rPr>
          <w:rFonts w:hint="eastAsia" w:ascii="仿宋" w:hAnsi="仿宋" w:eastAsia="仿宋" w:cs="仿宋"/>
          <w:position w:val="10"/>
          <w:sz w:val="32"/>
          <w:szCs w:val="32"/>
          <w:lang w:eastAsia="zh-CN"/>
        </w:rPr>
        <w:t>与</w:t>
      </w:r>
      <w:r>
        <w:rPr>
          <w:rFonts w:ascii="仿宋" w:hAnsi="仿宋" w:eastAsia="仿宋" w:cs="仿宋"/>
          <w:position w:val="10"/>
          <w:sz w:val="32"/>
          <w:szCs w:val="32"/>
        </w:rPr>
        <w:t>上年均无公务用车购置费。公务用车运行费增加0万元，增长0%，主要原因是我校本年度</w:t>
      </w:r>
      <w:r>
        <w:rPr>
          <w:rFonts w:hint="eastAsia" w:ascii="仿宋" w:hAnsi="仿宋" w:eastAsia="仿宋" w:cs="仿宋"/>
          <w:position w:val="10"/>
          <w:sz w:val="32"/>
          <w:szCs w:val="32"/>
          <w:lang w:eastAsia="zh-CN"/>
        </w:rPr>
        <w:t>与</w:t>
      </w:r>
      <w:r>
        <w:rPr>
          <w:rFonts w:ascii="仿宋" w:hAnsi="仿宋" w:eastAsia="仿宋" w:cs="仿宋"/>
          <w:position w:val="10"/>
          <w:sz w:val="32"/>
          <w:szCs w:val="32"/>
        </w:rPr>
        <w:t>上年均无公务用车运行费</w:t>
      </w:r>
      <w:r>
        <w:rPr>
          <w:rFonts w:hint="eastAsia" w:ascii="仿宋" w:hAnsi="仿宋" w:eastAsia="仿宋" w:cs="仿宋"/>
          <w:position w:val="10"/>
          <w:sz w:val="32"/>
          <w:szCs w:val="32"/>
          <w:lang w:eastAsia="zh-CN"/>
        </w:rPr>
        <w:t>，</w:t>
      </w:r>
      <w:r>
        <w:rPr>
          <w:rFonts w:ascii="仿宋" w:hAnsi="仿宋" w:eastAsia="仿宋" w:cs="仿宋"/>
          <w:position w:val="10"/>
          <w:sz w:val="32"/>
          <w:szCs w:val="32"/>
        </w:rPr>
        <w:t>公务接待费增加0万元，增长0%，主要原因是我校本年度</w:t>
      </w:r>
      <w:r>
        <w:rPr>
          <w:rFonts w:hint="eastAsia" w:ascii="仿宋" w:hAnsi="仿宋" w:eastAsia="仿宋" w:cs="仿宋"/>
          <w:position w:val="10"/>
          <w:sz w:val="32"/>
          <w:szCs w:val="32"/>
          <w:lang w:val="en-US" w:eastAsia="zh-CN"/>
        </w:rPr>
        <w:t>与</w:t>
      </w:r>
      <w:r>
        <w:rPr>
          <w:rFonts w:ascii="仿宋" w:hAnsi="仿宋" w:eastAsia="仿宋" w:cs="仿宋"/>
          <w:position w:val="10"/>
          <w:sz w:val="32"/>
          <w:szCs w:val="32"/>
        </w:rPr>
        <w:t>上年均无公务接待费。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sz w:val="32"/>
          <w:szCs w:val="32"/>
        </w:rPr>
      </w:pPr>
      <w:r>
        <w:rPr>
          <w:rFonts w:ascii="黑体" w:hAnsi="黑体" w:eastAsia="黑体" w:cs="黑体"/>
          <w:position w:val="20"/>
          <w:sz w:val="32"/>
          <w:szCs w:val="32"/>
        </w:rPr>
        <w:t>十一、其他重要事项的情况说明</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sz w:val="32"/>
          <w:szCs w:val="32"/>
        </w:rPr>
      </w:pPr>
      <w:r>
        <w:rPr>
          <w:rFonts w:hint="eastAsia" w:ascii="楷体_GB2312" w:hAnsi="楷体_GB2312" w:eastAsia="楷体_GB2312" w:cs="楷体_GB2312"/>
          <w:b/>
          <w:bCs/>
          <w:position w:val="20"/>
          <w:sz w:val="32"/>
          <w:szCs w:val="32"/>
        </w:rPr>
        <w:t>（一）机关运行经费情况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2023年，皮山县皮亚勒玛乡中心小学本级及下属0家行政单位和0家事业单位的机关运行经费财政拨款预算0万元，比上年预算增加0万元，增长0%。主要原因是我校本年度</w:t>
      </w:r>
      <w:r>
        <w:rPr>
          <w:rFonts w:hint="eastAsia" w:ascii="仿宋" w:hAnsi="仿宋" w:eastAsia="仿宋" w:cs="仿宋"/>
          <w:position w:val="10"/>
          <w:sz w:val="32"/>
          <w:szCs w:val="32"/>
          <w:lang w:eastAsia="zh-CN"/>
        </w:rPr>
        <w:t>与</w:t>
      </w:r>
      <w:r>
        <w:rPr>
          <w:rFonts w:ascii="仿宋" w:hAnsi="仿宋" w:eastAsia="仿宋" w:cs="仿宋"/>
          <w:position w:val="10"/>
          <w:sz w:val="32"/>
          <w:szCs w:val="32"/>
        </w:rPr>
        <w:t>上年均无机关运行经费。</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（二）政府采购情况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2023年，皮山县皮亚勒玛乡中心小学政府采购预算0万元，其中：政府采购货物预算0万元，政府采购工程预算0万元，政府采购服务预算0万元。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2023年度本单位面向中小企业预留政府采购项目预算金额0万元，其中：面向小微企业预留政府采购项目预算金额0万元。</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（三）国有资产占用使用情况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截至2022年底，皮山县皮亚勒玛乡中心小学及下属各预算单位占用使用国有资产总体情况为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1.房屋0平方米，价值0万元。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2.车辆0辆，价值0.00万元；其中：一般公务用车0辆，价值0万元；执法执勤用车0辆，价值0万元；其他车辆0辆，价值0万元。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3.办公家具价值0万元。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4.其他资产价值0万元。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单位价值50万元以上大型设备0台，单位价值100万元以上大型设备0台。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2023年单位预算安排购置车辆经费0万元，安排购置50万元以上大型设备0台，单位价值100万元以上大型设备0台。</w:t>
      </w:r>
    </w:p>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（四）预算绩效情况</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sz w:val="32"/>
          <w:szCs w:val="32"/>
        </w:rPr>
      </w:pPr>
      <w:r>
        <w:rPr>
          <w:rFonts w:ascii="仿宋" w:hAnsi="仿宋" w:eastAsia="仿宋" w:cs="仿宋"/>
          <w:position w:val="10"/>
          <w:sz w:val="32"/>
          <w:szCs w:val="32"/>
        </w:rPr>
        <w:t>2023年，本年度预算绩效管理的财政拨款项目8个，涉及预算金额356.13万元；非财政拨款项目0个，涉及预算金额0万元。</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r>
        <w:rPr>
          <w:rFonts w:ascii="仿宋" w:hAnsi="仿宋" w:eastAsia="仿宋" w:cs="仿宋"/>
          <w:position w:val="10"/>
          <w:sz w:val="32"/>
          <w:szCs w:val="32"/>
        </w:rPr>
        <w:t>具体情况见下表（按项目分别填报）：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p>
      <w:pPr>
        <w:ind w:left="200" w:right="200" w:firstLine="500"/>
        <w:jc w:val="both"/>
        <w:rPr>
          <w:rFonts w:ascii="仿宋" w:hAnsi="仿宋" w:eastAsia="仿宋" w:cs="仿宋"/>
          <w:position w:val="10"/>
          <w:sz w:val="32"/>
          <w:szCs w:val="32"/>
        </w:rPr>
      </w:pP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67"/>
        <w:gridCol w:w="775"/>
        <w:gridCol w:w="1745"/>
        <w:gridCol w:w="823"/>
        <w:gridCol w:w="1112"/>
        <w:gridCol w:w="760"/>
        <w:gridCol w:w="867"/>
        <w:gridCol w:w="1047"/>
        <w:gridCol w:w="579"/>
        <w:gridCol w:w="12"/>
        <w:gridCol w:w="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5"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5"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4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933"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皮山县皮亚勒玛乡中心小学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4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68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〔2022〕70号</w:t>
            </w:r>
            <w:r>
              <w:rPr>
                <w:rFonts w:ascii="仿宋" w:hAnsi="仿宋" w:eastAsia="仿宋" w:cs="仿宋"/>
                <w:position w:val="8"/>
                <w:sz w:val="20"/>
              </w:rPr>
              <w:t xml:space="preserve">   </w:t>
            </w:r>
          </w:p>
        </w:tc>
        <w:tc>
          <w:tcPr>
            <w:tcW w:w="162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62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阿卜杜卡迪尔·阿伍提</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4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86.1</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86.1</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62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4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33"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〔2022〕70号</w:t>
            </w:r>
            <w:r>
              <w:rPr>
                <w:rFonts w:ascii="仿宋" w:hAnsi="仿宋" w:eastAsia="仿宋" w:cs="仿宋"/>
                <w:position w:val="8"/>
                <w:sz w:val="20"/>
              </w:rPr>
              <w:t xml:space="preserve">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7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1296</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7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860952</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7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75"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5"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1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4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9"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63"/>
        <w:gridCol w:w="770"/>
        <w:gridCol w:w="1733"/>
        <w:gridCol w:w="821"/>
        <w:gridCol w:w="1105"/>
        <w:gridCol w:w="803"/>
        <w:gridCol w:w="863"/>
        <w:gridCol w:w="1041"/>
        <w:gridCol w:w="576"/>
        <w:gridCol w:w="12"/>
        <w:gridCol w:w="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5"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5"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942"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皮山县皮亚勒玛乡中心小学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65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〔2022〕75号</w:t>
            </w:r>
          </w:p>
        </w:tc>
        <w:tc>
          <w:tcPr>
            <w:tcW w:w="166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61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阿卜杜卡迪尔·阿伍提</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18.23</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18.23</w:t>
            </w: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61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3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42"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2023年城乡义务教育补助经费-公用经费 和地财教</w:t>
            </w:r>
            <w:r>
              <w:rPr>
                <w:rFonts w:hint="eastAsia" w:ascii="仿宋" w:hAnsi="仿宋" w:eastAsia="仿宋" w:cs="仿宋"/>
                <w:position w:val="8"/>
                <w:sz w:val="20"/>
                <w:lang w:eastAsia="zh-CN"/>
              </w:rPr>
              <w:t>〔2022〕75号</w:t>
            </w:r>
            <w:r>
              <w:rPr>
                <w:rFonts w:ascii="仿宋" w:hAnsi="仿宋" w:eastAsia="仿宋" w:cs="仿宋"/>
                <w:position w:val="8"/>
                <w:sz w:val="20"/>
              </w:rPr>
              <w:t xml:space="preserve">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523</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182301</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7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6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7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82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6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4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6"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03"/>
        <w:gridCol w:w="694"/>
        <w:gridCol w:w="1605"/>
        <w:gridCol w:w="1044"/>
        <w:gridCol w:w="1438"/>
        <w:gridCol w:w="711"/>
        <w:gridCol w:w="803"/>
        <w:gridCol w:w="944"/>
        <w:gridCol w:w="534"/>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9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079"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皮山县皮亚勒玛乡中心小学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9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087"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〔2022〕75号</w:t>
            </w:r>
          </w:p>
        </w:tc>
        <w:tc>
          <w:tcPr>
            <w:tcW w:w="151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7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阿卜杜卡迪尔·阿伍提</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9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29.6</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29.6</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47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29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79"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2023年城乡义务教育补助经费-家庭经济困难学生生活补助 和地财教</w:t>
            </w:r>
            <w:r>
              <w:rPr>
                <w:rFonts w:hint="eastAsia" w:ascii="仿宋" w:hAnsi="仿宋" w:eastAsia="仿宋" w:cs="仿宋"/>
                <w:position w:val="8"/>
                <w:sz w:val="20"/>
                <w:lang w:eastAsia="zh-CN"/>
              </w:rPr>
              <w:t>〔2022〕75号</w:t>
            </w:r>
            <w:r>
              <w:rPr>
                <w:rFonts w:ascii="仿宋" w:hAnsi="仿宋" w:eastAsia="仿宋" w:cs="仿宋"/>
                <w:position w:val="8"/>
                <w:sz w:val="20"/>
              </w:rPr>
              <w:t xml:space="preserve">   </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69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享受人数</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280</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资金拨付率</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296000</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学生家庭经济负担</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学生体质健康</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69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69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6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10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3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1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4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4"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07"/>
        <w:gridCol w:w="700"/>
        <w:gridCol w:w="1572"/>
        <w:gridCol w:w="1025"/>
        <w:gridCol w:w="1408"/>
        <w:gridCol w:w="768"/>
        <w:gridCol w:w="807"/>
        <w:gridCol w:w="951"/>
        <w:gridCol w:w="537"/>
        <w:gridCol w:w="12"/>
        <w:gridCol w:w="13"/>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5"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5"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0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068"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皮山县皮亚勒玛乡中心小学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0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4005"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2023年城乡义务教育补助经费家庭经济困难学生综合奖补 和地财教202270号</w:t>
            </w:r>
          </w:p>
        </w:tc>
        <w:tc>
          <w:tcPr>
            <w:tcW w:w="1575"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48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阿卜杜卡迪尔·阿伍提</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0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32.05</w:t>
            </w: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32.05</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488"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07"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68"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2023年城乡义务教育补助经费家庭经济困难学生综合奖补 和地财教202270号</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0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0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享受人数</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523</w:t>
            </w: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资金拨付率</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0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320550</w:t>
            </w: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0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学生家庭经济负担</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学生体质健康</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00"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0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00"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5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102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40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5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37"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3"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17"/>
        <w:gridCol w:w="714"/>
        <w:gridCol w:w="1831"/>
        <w:gridCol w:w="935"/>
        <w:gridCol w:w="1173"/>
        <w:gridCol w:w="775"/>
        <w:gridCol w:w="818"/>
        <w:gridCol w:w="968"/>
        <w:gridCol w:w="545"/>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3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04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皮山县皮亚勒玛乡中心小学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3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939"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2023年城乡义务教育补助经费农村学生营养改善补助 和地财教202270号</w:t>
            </w:r>
          </w:p>
        </w:tc>
        <w:tc>
          <w:tcPr>
            <w:tcW w:w="159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1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阿卜杜卡迪尔·阿伍提</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3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108.6</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108.6</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1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3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4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2023年城乡义务教育补助经费农村学生营养改善补助 和地财教202270号</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1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1633</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1086050</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14"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1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14"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93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7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7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1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6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4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53"/>
        <w:gridCol w:w="758"/>
        <w:gridCol w:w="1759"/>
        <w:gridCol w:w="836"/>
        <w:gridCol w:w="1123"/>
        <w:gridCol w:w="797"/>
        <w:gridCol w:w="854"/>
        <w:gridCol w:w="1026"/>
        <w:gridCol w:w="570"/>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96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皮山县皮亚勒玛乡中心小学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718"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2023年城乡义务教育补助经费-工资性补助 和地财教</w:t>
            </w:r>
            <w:r>
              <w:rPr>
                <w:rFonts w:hint="eastAsia" w:ascii="仿宋" w:hAnsi="仿宋" w:eastAsia="仿宋" w:cs="仿宋"/>
                <w:position w:val="8"/>
                <w:sz w:val="20"/>
                <w:lang w:eastAsia="zh-CN"/>
              </w:rPr>
              <w:t>〔2022〕70号</w:t>
            </w:r>
          </w:p>
        </w:tc>
        <w:tc>
          <w:tcPr>
            <w:tcW w:w="165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9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阿卜杜卡迪尔·阿伍提</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78.95</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78.95</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9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1"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65"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2023年城乡义务教育补助经费-工资性补助 和地财教</w:t>
            </w:r>
            <w:r>
              <w:rPr>
                <w:rFonts w:hint="eastAsia" w:ascii="仿宋" w:hAnsi="仿宋" w:eastAsia="仿宋" w:cs="仿宋"/>
                <w:position w:val="8"/>
                <w:sz w:val="20"/>
                <w:lang w:eastAsia="zh-CN"/>
              </w:rPr>
              <w:t>〔2022〕70号</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58"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1296</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758957</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58"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3"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58"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75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83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9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4"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26"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0"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57"/>
        <w:gridCol w:w="762"/>
        <w:gridCol w:w="1823"/>
        <w:gridCol w:w="809"/>
        <w:gridCol w:w="1160"/>
        <w:gridCol w:w="705"/>
        <w:gridCol w:w="857"/>
        <w:gridCol w:w="1031"/>
        <w:gridCol w:w="572"/>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6957"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皮山县皮亚勒玛乡中心小学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792"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〔2022〕75号</w:t>
            </w:r>
            <w:r>
              <w:rPr>
                <w:rFonts w:ascii="仿宋" w:hAnsi="仿宋" w:eastAsia="仿宋" w:cs="仿宋"/>
                <w:position w:val="8"/>
                <w:sz w:val="20"/>
              </w:rPr>
              <w:t xml:space="preserve">   </w:t>
            </w:r>
          </w:p>
        </w:tc>
        <w:tc>
          <w:tcPr>
            <w:tcW w:w="1562"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60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阿卜杜卡迪尔·阿伍提</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603"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419"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6957"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2023年城乡义务教育补助经费公用经费</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6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31</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10079</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6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57"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6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2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809"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6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05"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5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103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7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r>
        <w:br w:type="page"/>
      </w:r>
    </w:p>
    <w:tbl>
      <w:tblPr>
        <w:tblStyle w:val="4"/>
        <w:tblW w:w="8400" w:type="dxa"/>
        <w:tblInd w:w="5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
      <w:tblGrid>
        <w:gridCol w:w="632"/>
        <w:gridCol w:w="732"/>
        <w:gridCol w:w="1870"/>
        <w:gridCol w:w="837"/>
        <w:gridCol w:w="1193"/>
        <w:gridCol w:w="733"/>
        <w:gridCol w:w="833"/>
        <w:gridCol w:w="991"/>
        <w:gridCol w:w="555"/>
        <w:gridCol w:w="12"/>
        <w:gridCol w:w="12"/>
      </w:tblGrid>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  目  支  出  绩  效  目  标  表</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8376" w:type="dxa"/>
            <w:gridSpan w:val="9"/>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6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预算单位</w:t>
            </w:r>
          </w:p>
        </w:tc>
        <w:tc>
          <w:tcPr>
            <w:tcW w:w="7012"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皮山县皮亚勒玛乡中心小学</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6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项目名称</w:t>
            </w:r>
          </w:p>
        </w:tc>
        <w:tc>
          <w:tcPr>
            <w:tcW w:w="3900" w:type="dxa"/>
            <w:gridSpan w:val="3"/>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 和地财教</w:t>
            </w:r>
            <w:r>
              <w:rPr>
                <w:rFonts w:hint="eastAsia" w:ascii="仿宋" w:hAnsi="仿宋" w:eastAsia="仿宋" w:cs="仿宋"/>
                <w:position w:val="8"/>
                <w:sz w:val="20"/>
                <w:lang w:eastAsia="zh-CN"/>
              </w:rPr>
              <w:t>〔2022〕70号</w:t>
            </w:r>
            <w:r>
              <w:rPr>
                <w:rFonts w:ascii="仿宋" w:hAnsi="仿宋" w:eastAsia="仿宋" w:cs="仿宋"/>
                <w:position w:val="8"/>
                <w:sz w:val="20"/>
              </w:rPr>
              <w:t xml:space="preserve">   
</w:t>
            </w:r>
          </w:p>
        </w:tc>
        <w:tc>
          <w:tcPr>
            <w:tcW w:w="156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项目负责人</w:t>
            </w:r>
          </w:p>
        </w:tc>
        <w:tc>
          <w:tcPr>
            <w:tcW w:w="154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阿卜杜卡迪尔·阿伍提</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6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项目资金（万元）</w:t>
            </w: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年度预算总额：</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4.62</w:t>
            </w: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其中：财政拨款</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4.62</w:t>
            </w: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其他资金：</w:t>
            </w:r>
          </w:p>
        </w:tc>
        <w:tc>
          <w:tcPr>
            <w:tcW w:w="1546"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0</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1364" w:type="dxa"/>
            <w:gridSpan w:val="2"/>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项目总体目标</w:t>
            </w:r>
          </w:p>
        </w:tc>
        <w:tc>
          <w:tcPr>
            <w:tcW w:w="7012" w:type="dxa"/>
            <w:gridSpan w:val="7"/>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2023年城乡义务教育补助经费-特殊教育补助</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一级指标</w:t>
            </w:r>
          </w:p>
        </w:tc>
        <w:tc>
          <w:tcPr>
            <w:tcW w:w="732"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二级指标</w:t>
            </w: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三级指标</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w:t>
            </w: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指标值设置依据</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上年完成值</w:t>
            </w: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指标分值权重</w:t>
            </w: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指标赋分规则</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佐证资料</w:t>
            </w: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center"/>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产出指标</w:t>
            </w:r>
          </w:p>
        </w:tc>
        <w:tc>
          <w:tcPr>
            <w:tcW w:w="7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数量指标</w:t>
            </w: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义务教育保障经费人数</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1296</w:t>
            </w: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质量指标</w:t>
            </w: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经费足额保障率</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时效指标</w:t>
            </w: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项目完成时限</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w:t>
            </w: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成本指标</w:t>
            </w:r>
          </w:p>
        </w:tc>
        <w:tc>
          <w:tcPr>
            <w:tcW w:w="7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经济成本指标</w:t>
            </w: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资金总额</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46183</w:t>
            </w: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100</w:t>
            </w: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社会成本指标</w:t>
            </w: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生态成本指标</w:t>
            </w: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效益指标</w:t>
            </w:r>
          </w:p>
        </w:tc>
        <w:tc>
          <w:tcPr>
            <w:tcW w:w="7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经济效益指标</w:t>
            </w: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社会效益指标</w:t>
            </w: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提升义务教育学生生活质量</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生态效益指标</w:t>
            </w: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改善义务教育学生办学条件</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文字描述</w:t>
            </w: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10</w:t>
            </w: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732" w:type="dxa"/>
            <w:vMerge w:val="restart"/>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满意度指标</w:t>
            </w: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学生满意度</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r>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20" w:type="dxa"/>
            <w:left w:w="0" w:type="dxa"/>
            <w:bottom w:w="0" w:type="dxa"/>
            <w:right w:w="0" w:type="dxa"/>
          </w:tblCellMar>
        </w:tblPrEx>
        <w:tc>
          <w:tcPr>
            <w:tcW w:w="6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732" w:type="dxa"/>
            <w:vMerge w:val="continue"/>
            <w:tcBorders>
              <w:top w:val="single" w:color="auto" w:sz="0" w:space="0"/>
              <w:left w:val="single" w:color="auto" w:sz="0" w:space="0"/>
              <w:bottom w:val="single" w:color="auto" w:sz="0" w:space="0"/>
              <w:right w:val="single" w:color="auto" w:sz="0" w:space="0"/>
            </w:tcBorders>
            <w:vAlign w:val="center"/>
          </w:tcPr>
          <w:p>
            <w:pPr>
              <w:ind w:left="30"/>
              <w:jc w:val="left"/>
            </w:pPr>
          </w:p>
        </w:tc>
        <w:tc>
          <w:tcPr>
            <w:tcW w:w="1870"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学生家长满意度</w:t>
            </w:r>
          </w:p>
        </w:tc>
        <w:tc>
          <w:tcPr>
            <w:tcW w:w="837"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95</w:t>
            </w:r>
          </w:p>
        </w:tc>
        <w:tc>
          <w:tcPr>
            <w:tcW w:w="119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其他标准</w:t>
            </w:r>
          </w:p>
        </w:tc>
        <w:tc>
          <w:tcPr>
            <w:tcW w:w="733" w:type="dxa"/>
            <w:tcBorders>
              <w:top w:val="single" w:color="auto" w:sz="0" w:space="0"/>
              <w:left w:val="single" w:color="auto" w:sz="0" w:space="0"/>
              <w:bottom w:val="single" w:color="auto" w:sz="0" w:space="0"/>
              <w:right w:val="single" w:color="auto" w:sz="0" w:space="0"/>
            </w:tcBorders>
            <w:vAlign w:val="center"/>
          </w:tcPr>
          <w:p>
            <w:pPr>
              <w:ind w:left="30"/>
              <w:jc w:val="center"/>
            </w:pPr>
          </w:p>
        </w:tc>
        <w:tc>
          <w:tcPr>
            <w:tcW w:w="833"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20</w:t>
            </w:r>
          </w:p>
        </w:tc>
        <w:tc>
          <w:tcPr>
            <w:tcW w:w="991" w:type="dxa"/>
            <w:tcBorders>
              <w:top w:val="single" w:color="auto" w:sz="0" w:space="0"/>
              <w:left w:val="single" w:color="auto" w:sz="0" w:space="0"/>
              <w:bottom w:val="single" w:color="auto" w:sz="0" w:space="0"/>
              <w:right w:val="single" w:color="auto" w:sz="0" w:space="0"/>
            </w:tcBorders>
            <w:vAlign w:val="center"/>
          </w:tcPr>
          <w:p>
            <w:pPr>
              <w:ind w:left="30"/>
              <w:jc w:val="center"/>
            </w:pPr>
            <w:r>
              <w:rPr>
                <w:rFonts w:ascii="仿宋" w:hAnsi="仿宋" w:eastAsia="仿宋" w:cs="仿宋"/>
                <w:position w:val="8"/>
                <w:sz w:val="20"/>
              </w:rPr>
              <w:t>按照完成比例赋分</w:t>
            </w:r>
          </w:p>
        </w:tc>
        <w:tc>
          <w:tcPr>
            <w:tcW w:w="555"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c>
          <w:tcPr>
            <w:tcW w:w="12" w:type="dxa"/>
            <w:tcBorders>
              <w:top w:val="single" w:color="auto" w:sz="0" w:space="0"/>
              <w:left w:val="single" w:color="auto" w:sz="0" w:space="0"/>
              <w:bottom w:val="single" w:color="auto" w:sz="0" w:space="0"/>
              <w:right w:val="single" w:color="auto" w:sz="0" w:space="0"/>
            </w:tcBorders>
            <w:vAlign w:val="center"/>
          </w:tcPr>
          <w:p>
            <w:pPr>
              <w:ind w:left="30"/>
              <w:jc w:val="left"/>
            </w:pPr>
          </w:p>
        </w:tc>
      </w:tr>
    </w:tbl>
    <w:p>
      <w:pPr>
        <w:keepNext w:val="0"/>
        <w:keepLines w:val="0"/>
        <w:pageBreakBefore w:val="0"/>
        <w:widowControl w:val="0"/>
        <w:kinsoku/>
        <w:wordWrap/>
        <w:overflowPunct/>
        <w:topLinePunct w:val="0"/>
        <w:autoSpaceDE/>
        <w:autoSpaceDN/>
        <w:bidi w:val="0"/>
        <w:adjustRightInd/>
        <w:snapToGrid/>
        <w:spacing w:before="150" w:line="560" w:lineRule="exact"/>
        <w:ind w:left="198" w:right="198" w:firstLine="499"/>
        <w:jc w:val="both"/>
        <w:textAlignment w:val="auto"/>
        <w:outlineLvl w:val="9"/>
        <w:rPr>
          <w:rFonts w:hint="eastAsia" w:ascii="楷体_GB2312" w:hAnsi="楷体_GB2312" w:eastAsia="楷体_GB2312" w:cs="楷体_GB2312"/>
          <w:b/>
          <w:bCs/>
          <w:position w:val="20"/>
          <w:sz w:val="32"/>
          <w:szCs w:val="32"/>
        </w:rPr>
      </w:pPr>
      <w:r>
        <w:rPr>
          <w:rFonts w:hint="eastAsia" w:ascii="楷体_GB2312" w:hAnsi="楷体_GB2312" w:eastAsia="楷体_GB2312" w:cs="楷体_GB2312"/>
          <w:b/>
          <w:bCs/>
          <w:position w:val="20"/>
          <w:sz w:val="32"/>
          <w:szCs w:val="32"/>
        </w:rPr>
        <w:t>（五）其他需说明的事项</w:t>
      </w:r>
    </w:p>
    <w:p>
      <w:pPr>
        <w:ind w:left="200" w:right="200" w:firstLine="500"/>
        <w:jc w:val="both"/>
        <w:rPr>
          <w:sz w:val="32"/>
          <w:szCs w:val="32"/>
        </w:rPr>
      </w:pPr>
      <w:r>
        <w:rPr>
          <w:rFonts w:ascii="仿宋" w:hAnsi="仿宋" w:eastAsia="仿宋" w:cs="仿宋"/>
          <w:position w:val="10"/>
          <w:sz w:val="32"/>
          <w:szCs w:val="32"/>
        </w:rPr>
        <w:t>无其他需要说明的事项。</w:t>
      </w:r>
    </w:p>
    <w:p>
      <w:pPr>
        <w:sectPr>
          <w:cols w:space="720" w:num="1"/>
        </w:sectPr>
      </w:pPr>
      <w:r>
        <w:br w:type="textWrapping"/>
      </w:r>
    </w:p>
    <w:p>
      <w:pPr>
        <w:ind w:left="200" w:right="200" w:firstLine="500"/>
        <w:jc w:val="center"/>
      </w:pPr>
      <w:r>
        <w:rPr>
          <w:rFonts w:ascii="黑体" w:hAnsi="黑体" w:eastAsia="黑体" w:cs="黑体"/>
          <w:position w:val="30"/>
          <w:sz w:val="42"/>
        </w:rPr>
        <w:t>第四部分 名词解释</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一、财政拨款：</w:t>
      </w:r>
      <w:r>
        <w:rPr>
          <w:rFonts w:hint="eastAsia" w:ascii="仿宋" w:hAnsi="仿宋" w:eastAsia="仿宋" w:cs="仿宋"/>
          <w:position w:val="10"/>
          <w:sz w:val="32"/>
          <w:szCs w:val="32"/>
        </w:rPr>
        <w:t>指由一般公共预算、政府性基金预算、国有资本经营预算安排的财政拨款数。</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二、一般公共预算：</w:t>
      </w:r>
      <w:r>
        <w:rPr>
          <w:rFonts w:hint="eastAsia" w:ascii="仿宋" w:hAnsi="仿宋" w:eastAsia="仿宋" w:cs="仿宋"/>
          <w:position w:val="10"/>
          <w:sz w:val="32"/>
          <w:szCs w:val="32"/>
        </w:rPr>
        <w:t>包括公共财政拨款（补助）资金、专项收入。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三、财政专户管理资金：</w:t>
      </w:r>
      <w:r>
        <w:rPr>
          <w:rFonts w:hint="eastAsia" w:ascii="仿宋" w:hAnsi="仿宋" w:eastAsia="仿宋" w:cs="仿宋"/>
          <w:position w:val="10"/>
          <w:sz w:val="32"/>
          <w:szCs w:val="32"/>
        </w:rPr>
        <w:t>包括专户管理行政事业性收费（主要是教育收费）、其他非税收入。</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四、其他资金：</w:t>
      </w:r>
      <w:r>
        <w:rPr>
          <w:rFonts w:hint="eastAsia" w:ascii="仿宋" w:hAnsi="仿宋" w:eastAsia="仿宋" w:cs="仿宋"/>
          <w:position w:val="10"/>
          <w:sz w:val="32"/>
          <w:szCs w:val="32"/>
        </w:rPr>
        <w:t>包括事业收入、事业经营收入、其他收入等。</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五、基本支出：</w:t>
      </w:r>
      <w:r>
        <w:rPr>
          <w:rFonts w:hint="eastAsia" w:ascii="仿宋" w:hAnsi="仿宋" w:eastAsia="仿宋" w:cs="仿宋"/>
          <w:position w:val="10"/>
          <w:sz w:val="32"/>
          <w:szCs w:val="32"/>
        </w:rPr>
        <w:t>包括人员经费、公用经费（定额）。其中，人员经费包括工资福利支出、对个人和家庭的补助。</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六、项目支出：</w:t>
      </w:r>
      <w:r>
        <w:rPr>
          <w:rFonts w:hint="eastAsia" w:ascii="仿宋" w:hAnsi="仿宋" w:eastAsia="仿宋" w:cs="仿宋"/>
          <w:position w:val="10"/>
          <w:sz w:val="32"/>
          <w:szCs w:val="32"/>
        </w:rPr>
        <w:t>部门（单位）支出预算的组成部分，是各部门（单位）为完成其特定的行政任务或事业发展目标，在基本支出预算之外编制的年度项目支出计划。</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七、“三公”经费：</w:t>
      </w:r>
      <w:r>
        <w:rPr>
          <w:rFonts w:hint="eastAsia" w:ascii="仿宋" w:hAnsi="仿宋" w:eastAsia="仿宋" w:cs="仿宋"/>
          <w:position w:val="10"/>
          <w:sz w:val="32"/>
          <w:szCs w:val="32"/>
        </w:rPr>
        <w:t>指因公出国（境）费、公务用车购置及运行维护费和公务接待费。其中，因公出国（境）费反映单位公务出国（境）的国际旅费、国外城市间交通费、住宿费、伙食费、培训费、公杂费等支出；公务用车运行维护费反映单位按规定保留的公务用车租用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both"/>
        <w:textAlignment w:val="auto"/>
        <w:outlineLvl w:val="9"/>
        <w:rPr>
          <w:rFonts w:hint="eastAsia" w:ascii="仿宋" w:hAnsi="仿宋" w:eastAsia="仿宋" w:cs="仿宋"/>
          <w:sz w:val="32"/>
          <w:szCs w:val="32"/>
        </w:rPr>
      </w:pPr>
      <w:r>
        <w:rPr>
          <w:rFonts w:hint="eastAsia" w:ascii="仿宋" w:hAnsi="仿宋" w:eastAsia="仿宋" w:cs="仿宋"/>
          <w:b/>
          <w:bCs/>
          <w:position w:val="10"/>
          <w:sz w:val="32"/>
          <w:szCs w:val="32"/>
        </w:rPr>
        <w:t>八、机关运行经费：</w:t>
      </w:r>
      <w:r>
        <w:rPr>
          <w:rFonts w:hint="eastAsia" w:ascii="仿宋" w:hAnsi="仿宋" w:eastAsia="仿宋" w:cs="仿宋"/>
          <w:position w:val="10"/>
          <w:sz w:val="32"/>
          <w:szCs w:val="32"/>
        </w:rPr>
        <w:t>指各部门（单位）的公用经费，包括办公及印刷费、邮电费、差旅费、会议费、福利费、日常维修费、专用材料及一般设备购置费、办公用房水电费、办公用房取暖费、办公用房物业管理费、公务用车运行维护费及其他费用。</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bookmarkStart w:id="4" w:name="_GoBack"/>
      <w:bookmarkEnd w:id="4"/>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皮山县皮亚勒玛乡中心小学</w:t>
      </w:r>
    </w:p>
    <w:p>
      <w:pPr>
        <w:keepNext w:val="0"/>
        <w:keepLines w:val="0"/>
        <w:pageBreakBefore w:val="0"/>
        <w:widowControl w:val="0"/>
        <w:kinsoku/>
        <w:wordWrap/>
        <w:overflowPunct/>
        <w:topLinePunct w:val="0"/>
        <w:autoSpaceDE/>
        <w:autoSpaceDN/>
        <w:bidi w:val="0"/>
        <w:adjustRightInd/>
        <w:snapToGrid/>
        <w:spacing w:line="560" w:lineRule="exact"/>
        <w:ind w:left="198" w:right="198" w:firstLine="499"/>
        <w:jc w:val="right"/>
        <w:textAlignment w:val="auto"/>
        <w:outlineLvl w:val="9"/>
        <w:rPr>
          <w:rFonts w:hint="eastAsia" w:ascii="仿宋" w:hAnsi="仿宋" w:eastAsia="仿宋" w:cs="仿宋"/>
          <w:position w:val="10"/>
          <w:sz w:val="32"/>
          <w:szCs w:val="32"/>
        </w:rPr>
      </w:pPr>
      <w:r>
        <w:rPr>
          <w:rFonts w:hint="eastAsia" w:ascii="仿宋" w:hAnsi="仿宋" w:eastAsia="仿宋" w:cs="仿宋"/>
          <w:position w:val="10"/>
          <w:sz w:val="32"/>
          <w:szCs w:val="32"/>
        </w:rPr>
        <w:t>2023年1月</w:t>
      </w:r>
      <w:r>
        <w:rPr>
          <w:rFonts w:hint="eastAsia" w:ascii="仿宋" w:hAnsi="仿宋" w:eastAsia="仿宋" w:cs="仿宋"/>
          <w:position w:val="10"/>
          <w:sz w:val="32"/>
          <w:szCs w:val="32"/>
          <w:lang w:val="en-US" w:eastAsia="zh-CN"/>
        </w:rPr>
        <w:t>18</w:t>
      </w:r>
      <w:r>
        <w:rPr>
          <w:rFonts w:hint="eastAsia" w:ascii="仿宋" w:hAnsi="仿宋" w:eastAsia="仿宋" w:cs="仿宋"/>
          <w:position w:val="10"/>
          <w:sz w:val="32"/>
          <w:szCs w:val="32"/>
        </w:rPr>
        <w:t>日</w:t>
      </w:r>
    </w:p>
    <w:sectPr>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cumentProtection w:enforcement="0"/>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B5A3548"/>
    <w:rsid w:val="256D6B7C"/>
    <w:rsid w:val="2C981267"/>
    <w:rsid w:val="2E437AC1"/>
    <w:rsid w:val="3CDF5B44"/>
    <w:rsid w:val="3E1304EA"/>
    <w:rsid w:val="56AE6962"/>
    <w:rsid w:val="76C61E2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2"/>
    <w:basedOn w:val="1"/>
    <w:next w:val="1"/>
    <w:unhideWhenUsed/>
    <w:qFormat/>
    <w:uiPriority w:val="0"/>
    <w:pPr>
      <w:ind w:left="1277"/>
      <w:outlineLvl w:val="1"/>
    </w:pPr>
    <w:rPr>
      <w:rFonts w:ascii="仿宋_GB2312" w:hAnsi="仿宋_GB2312" w:eastAsia="仿宋_GB2312" w:cs="仿宋_GB2312"/>
      <w:b/>
      <w:bCs/>
      <w:sz w:val="32"/>
      <w:szCs w:val="32"/>
      <w:lang w:val="zh-CN" w:eastAsia="zh-CN" w:bidi="zh-CN"/>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33</Pages>
  <Words>3228</Words>
  <Characters>4166</Characters>
  <TotalTime>0</TotalTime>
  <ScaleCrop>false</ScaleCrop>
  <LinksUpToDate>false</LinksUpToDate>
  <CharactersWithSpaces>4614</CharactersWithSpaces>
  <Application>WPS Office_10.8.2.6837_F1E327BC-269C-435d-A152-05C5408002CA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2023-04-27T04:22:00Z</dcterms:created>
  <dc:creator>Apache POI</dc:creator>
  <cp:lastModifiedBy>Administrator</cp:lastModifiedBy>
  <dcterms:modified xsi:type="dcterms:W3CDTF">2025-07-24T05:25:05Z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eyJoZGlkIjoiZmJiYzM4NGMxNTU2MDViMDQzMzBjNGQ5NThlMWYxNDciLCJ1c2VySWQiOiI5NTc2ODg5MzgifQ==</vt:lpwstr>
  </property>
  <property fmtid="{D5CDD505-2E9C-101B-9397-08002B2CF9AE}" pid="3" name="KSOProductBuildVer">
    <vt:lpwstr>2052-10.8.2.6837</vt:lpwstr>
  </property>
  <property fmtid="{D5CDD505-2E9C-101B-9397-08002B2CF9AE}" pid="4" name="ICV">
    <vt:lpwstr>AC8048B850BC4530866DF179EC572FEE_13</vt:lpwstr>
  </property>
</Properties>
</file>