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00" w:right="200"/>
        <w:jc w:val="center"/>
      </w:pP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t>皮山县康克尔柯尔克孜民族乡中心小学</w:t>
      </w:r>
    </w:p>
    <w:p>
      <w:pPr>
        <w:spacing w:before="150"/>
        <w:ind w:left="200" w:right="200"/>
        <w:jc w:val="center"/>
      </w:pPr>
      <w:r>
        <w:rPr>
          <w:rFonts w:ascii="黑体" w:hAnsi="黑体" w:eastAsia="黑体" w:cs="黑体"/>
          <w:position w:val="30"/>
          <w:sz w:val="42"/>
        </w:rPr>
        <w:t>2023年</w:t>
      </w:r>
      <w:r>
        <w:rPr>
          <w:rFonts w:hint="eastAsia" w:ascii="黑体" w:hAnsi="黑体" w:eastAsia="黑体" w:cs="黑体"/>
          <w:position w:val="30"/>
          <w:sz w:val="42"/>
          <w:lang w:eastAsia="zh-CN"/>
        </w:rPr>
        <w:t>部门</w:t>
      </w:r>
      <w:r>
        <w:rPr>
          <w:rFonts w:ascii="黑体" w:hAnsi="黑体" w:eastAsia="黑体" w:cs="黑体"/>
          <w:position w:val="30"/>
          <w:sz w:val="42"/>
        </w:rPr>
        <w:t>预算公开</w:t>
      </w:r>
    </w:p>
    <w:p>
      <w:r>
        <w:br w:type="page"/>
      </w:r>
    </w:p>
    <w:p>
      <w:pPr>
        <w:jc w:val="center"/>
      </w:pPr>
      <w:r>
        <w:rPr>
          <w:rFonts w:ascii="黑体" w:hAnsi="黑体" w:eastAsia="黑体" w:cs="黑体"/>
          <w:position w:val="30"/>
          <w:sz w:val="42"/>
        </w:rPr>
        <w:t>目    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第一部分 皮山县康克尔柯尔克孜民族乡中心小学</w:t>
      </w:r>
      <w:r>
        <w:rPr>
          <w:rFonts w:hint="eastAsia" w:ascii="黑体" w:hAnsi="黑体" w:eastAsia="黑体" w:cs="黑体"/>
          <w:position w:val="15"/>
          <w:sz w:val="32"/>
          <w:szCs w:val="32"/>
          <w:lang w:eastAsia="zh-CN"/>
        </w:rPr>
        <w:t>部门</w:t>
      </w:r>
      <w:r>
        <w:rPr>
          <w:rFonts w:ascii="黑体" w:hAnsi="黑体" w:eastAsia="黑体" w:cs="黑体"/>
          <w:position w:val="15"/>
          <w:sz w:val="32"/>
          <w:szCs w:val="32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第二部分 2023年</w:t>
      </w:r>
      <w:r>
        <w:rPr>
          <w:rFonts w:hint="eastAsia" w:ascii="黑体" w:hAnsi="黑体" w:eastAsia="黑体" w:cs="黑体"/>
          <w:position w:val="15"/>
          <w:sz w:val="32"/>
          <w:szCs w:val="32"/>
          <w:lang w:eastAsia="zh-CN"/>
        </w:rPr>
        <w:t>部门</w:t>
      </w:r>
      <w:r>
        <w:rPr>
          <w:rFonts w:ascii="黑体" w:hAnsi="黑体" w:eastAsia="黑体" w:cs="黑体"/>
          <w:position w:val="15"/>
          <w:sz w:val="32"/>
          <w:szCs w:val="32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三、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四、财政拨款收支预算总体情况表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七、一般公共预算项目支出情况表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第三部分 2023年</w:t>
      </w:r>
      <w:r>
        <w:rPr>
          <w:rFonts w:hint="eastAsia" w:ascii="黑体" w:hAnsi="黑体" w:eastAsia="黑体" w:cs="黑体"/>
          <w:position w:val="15"/>
          <w:sz w:val="32"/>
          <w:szCs w:val="32"/>
          <w:lang w:eastAsia="zh-CN"/>
        </w:rPr>
        <w:t>部门</w:t>
      </w:r>
      <w:r>
        <w:rPr>
          <w:rFonts w:ascii="黑体" w:hAnsi="黑体" w:eastAsia="黑体" w:cs="黑体"/>
          <w:position w:val="15"/>
          <w:sz w:val="32"/>
          <w:szCs w:val="32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一、关于皮山县康克尔柯尔克孜民族乡中心小学2023年收支预算情况的总体说明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二、关于皮山县康克尔柯尔克孜民族乡中心小学2023年收入预算情况说明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三、关于皮山县康克尔柯尔克孜民族乡中心小学2023年支出预算情况说明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四、关于皮山县康克尔柯尔克孜民族乡中心小学2023年财政拨款收支预算情况的总体说明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五、关于皮山县康克尔柯尔克孜民族乡中心小学2023年一般公共预算当年拨款情况说明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六、关于皮山县康克尔柯尔克孜民族乡中心小学2023年一般公共预算基本支出情况说明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七、关于皮山县康克尔柯尔克孜民族乡中心小学2023年一般公共预算项目支出情况说明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八、关于皮山县康克尔柯尔克孜民族乡中心小学2023年政府性基金预算拨款情况说明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九、关于皮山县康克尔柯尔克孜民族乡中心小学2023年国有资本经营预算拨款情况说明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十、关于皮山县康克尔柯尔克孜民族乡中心小学2023年财政拨款“三公”经费预算情况说明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第四部分 名词解释</w:t>
      </w:r>
    </w:p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第一部分 皮山县康克尔柯尔克孜民族乡中心小学</w:t>
      </w:r>
      <w:r>
        <w:rPr>
          <w:rFonts w:hint="eastAsia" w:ascii="黑体" w:hAnsi="黑体" w:eastAsia="黑体" w:cs="黑体"/>
          <w:position w:val="30"/>
          <w:sz w:val="42"/>
          <w:lang w:eastAsia="zh-CN"/>
        </w:rPr>
        <w:t>部门</w:t>
      </w:r>
      <w:r>
        <w:rPr>
          <w:rFonts w:ascii="黑体" w:hAnsi="黑体" w:eastAsia="黑体" w:cs="黑体"/>
          <w:position w:val="30"/>
          <w:sz w:val="42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(1)全面贯彻落实国家及自治区，地区，县上有关 教育的法律，法规，政策，规章制度等坚持正确的育人 导向。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(2)实施小学教育，促进义务教育发展。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(3)加强教育法律法规的学习宣传，完善依法治校 措施，使学校逐步步入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法治化</w:t>
      </w:r>
      <w:r>
        <w:rPr>
          <w:rFonts w:ascii="仿宋" w:hAnsi="仿宋" w:eastAsia="仿宋" w:cs="仿宋"/>
          <w:position w:val="10"/>
          <w:sz w:val="32"/>
          <w:szCs w:val="32"/>
        </w:rPr>
        <w:t>轨道。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(4)培养学生的创新和实践能力，造就适应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社会主义</w:t>
      </w:r>
      <w:r>
        <w:rPr>
          <w:rFonts w:ascii="仿宋" w:hAnsi="仿宋" w:eastAsia="仿宋" w:cs="仿宋"/>
          <w:position w:val="10"/>
          <w:sz w:val="32"/>
          <w:szCs w:val="32"/>
        </w:rPr>
        <w:t xml:space="preserve"> 义现代化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建设者和接班人</w:t>
      </w:r>
      <w:r>
        <w:rPr>
          <w:rFonts w:ascii="仿宋" w:hAnsi="仿宋" w:eastAsia="仿宋" w:cs="仿宋"/>
          <w:position w:val="10"/>
          <w:sz w:val="32"/>
          <w:szCs w:val="32"/>
        </w:rPr>
        <w:t>，按教育规律办学，不断提高教 育质量。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(5)培养和团结教职员工，充分发挥教职工的主动 性，积极性，创造性，不断提高他们的业务能力和思想 道德水准。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eastAsia="仿宋"/>
          <w:sz w:val="32"/>
          <w:szCs w:val="32"/>
          <w:lang w:val="en-US"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(6)加强学校民主管理力度，实行民主监督，科学决策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(7)承办县委，政府及行政主管部门交办的其他工作。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皮山县康克尔柯尔克孜民族乡中心小学无下属预算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，下设5个科室，分别是：皮山县康克尔柯尔克孜民族乡中心小学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无下属预 算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，下设5个科室，分别是：党建办，教务室，德育 室，教研室，总务室。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皮山县康克尔柯尔克孜民族乡中心小学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编制数22，实有人数35人，其中：在职28人，减少1人；退休7人，增加1人；离休0人，增加0人。</w:t>
      </w:r>
    </w:p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第二部分 2023年</w:t>
      </w:r>
      <w:r>
        <w:rPr>
          <w:rFonts w:hint="eastAsia" w:ascii="黑体" w:hAnsi="黑体" w:eastAsia="黑体" w:cs="黑体"/>
          <w:position w:val="30"/>
          <w:sz w:val="42"/>
          <w:lang w:eastAsia="zh-CN"/>
        </w:rPr>
        <w:t>部门</w:t>
      </w:r>
      <w:r>
        <w:rPr>
          <w:rFonts w:ascii="黑体" w:hAnsi="黑体" w:eastAsia="黑体" w:cs="黑体"/>
          <w:position w:val="30"/>
          <w:sz w:val="42"/>
        </w:rPr>
        <w:t>预算公开表</w:t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719"/>
        <w:gridCol w:w="1167"/>
        <w:gridCol w:w="2831"/>
        <w:gridCol w:w="68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收支总体情况表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86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：皮山县康克尔柯尔克孜民族乡中心小学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单位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8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收   入</w:t>
            </w:r>
          </w:p>
        </w:tc>
        <w:tc>
          <w:tcPr>
            <w:tcW w:w="351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   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  目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一、本年收入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587.02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 一般公共服务支出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1.一般公共预算拨款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587.02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 外交支出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其中：一般财力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516.8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 国防支出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上级一般公共预算安排转移支付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70.22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 公共安全支出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2.基金预算拨款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 教育支出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630.12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其中：政府性基金收入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 科学技术支出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上级政府性基金安排转移支付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 文化旅游体育与传媒支出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3.国有资本经营预算拨款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 社会保障和就业支出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其中：国有资本经营收入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 社会保险基金支出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上级国有资本经营预算安排转移支付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 卫生健康支出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4.财政专户核拨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 节能环保支出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5.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资金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 城乡社区支出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其中：事业收入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 农林水支出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上级补助收入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 交通运输支出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附属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上缴收入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 资源勘探工业信息等支出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事业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经营收入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 商业服务业等支出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其他收入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 金融支出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二、上年结转结余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44.54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 援助其他地区支出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1.财政拨款结转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44.54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 自然资源海洋气象等支出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其中：一般公共预算拨款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43.1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 住房保障支出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基金预算拨款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1.44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 粮油物资储备支出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国有资本经营预算拨款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 国有资本经营预算支出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2.非财政拨款结转结余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 灾害防治及应急管理支出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其中：财政专户核拨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 预备费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资金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 其他支出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1.44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 转移性支出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 债务还本支出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 债务付息支出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 债务发行费用支出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 抗疫特别国债安排的支出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  入  总  计</w:t>
            </w: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631.56</w:t>
            </w:r>
          </w:p>
        </w:tc>
        <w:tc>
          <w:tcPr>
            <w:tcW w:w="28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  出  总  计</w:t>
            </w:r>
          </w:p>
        </w:tc>
        <w:tc>
          <w:tcPr>
            <w:tcW w:w="6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631.56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60"/>
        <w:gridCol w:w="253"/>
        <w:gridCol w:w="253"/>
        <w:gridCol w:w="751"/>
        <w:gridCol w:w="542"/>
        <w:gridCol w:w="740"/>
        <w:gridCol w:w="556"/>
        <w:gridCol w:w="812"/>
        <w:gridCol w:w="410"/>
        <w:gridCol w:w="609"/>
        <w:gridCol w:w="439"/>
        <w:gridCol w:w="694"/>
        <w:gridCol w:w="670"/>
        <w:gridCol w:w="317"/>
        <w:gridCol w:w="543"/>
        <w:gridCol w:w="451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收入总体情况表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089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：皮山县康克尔柯尔克孜民族乡中心小学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单位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66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功能分类编码</w:t>
            </w:r>
          </w:p>
        </w:tc>
        <w:tc>
          <w:tcPr>
            <w:tcW w:w="75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542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总  计</w:t>
            </w:r>
          </w:p>
        </w:tc>
        <w:tc>
          <w:tcPr>
            <w:tcW w:w="426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</w:t>
            </w:r>
          </w:p>
        </w:tc>
        <w:tc>
          <w:tcPr>
            <w:tcW w:w="67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财政专户（教育收费）</w:t>
            </w:r>
          </w:p>
        </w:tc>
        <w:tc>
          <w:tcPr>
            <w:tcW w:w="31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hint="eastAsia" w:ascii="黑体" w:hAnsi="黑体" w:eastAsia="黑体" w:cs="黑体"/>
                <w:position w:val="10"/>
                <w:sz w:val="20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0"/>
                <w:sz w:val="20"/>
              </w:rPr>
              <w:t>资金</w:t>
            </w:r>
          </w:p>
        </w:tc>
        <w:tc>
          <w:tcPr>
            <w:tcW w:w="54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财政拨款结转</w:t>
            </w:r>
          </w:p>
        </w:tc>
        <w:tc>
          <w:tcPr>
            <w:tcW w:w="45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非财政拨款结转结余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751" w:type="dxa"/>
            <w:vMerge w:val="continue"/>
          </w:tcPr>
          <w:p/>
        </w:tc>
        <w:tc>
          <w:tcPr>
            <w:tcW w:w="542" w:type="dxa"/>
            <w:vMerge w:val="continue"/>
          </w:tcPr>
          <w:p/>
        </w:tc>
        <w:tc>
          <w:tcPr>
            <w:tcW w:w="7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财政拨款（补助）小计</w:t>
            </w:r>
          </w:p>
        </w:tc>
        <w:tc>
          <w:tcPr>
            <w:tcW w:w="5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上级一般公共预算安排的转移支付</w:t>
            </w:r>
          </w:p>
        </w:tc>
        <w:tc>
          <w:tcPr>
            <w:tcW w:w="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上级政府性基金安排的转移支付</w:t>
            </w:r>
          </w:p>
        </w:tc>
        <w:tc>
          <w:tcPr>
            <w:tcW w:w="4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  <w:tc>
          <w:tcPr>
            <w:tcW w:w="6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上级国有资本经营预算安排的转移支付</w:t>
            </w:r>
          </w:p>
        </w:tc>
        <w:tc>
          <w:tcPr>
            <w:tcW w:w="670" w:type="dxa"/>
            <w:vMerge w:val="continue"/>
          </w:tcPr>
          <w:p/>
        </w:tc>
        <w:tc>
          <w:tcPr>
            <w:tcW w:w="317" w:type="dxa"/>
            <w:vMerge w:val="continue"/>
          </w:tcPr>
          <w:p/>
        </w:tc>
        <w:tc>
          <w:tcPr>
            <w:tcW w:w="543" w:type="dxa"/>
            <w:vMerge w:val="continue"/>
          </w:tcPr>
          <w:p/>
        </w:tc>
        <w:tc>
          <w:tcPr>
            <w:tcW w:w="451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教育支出</w:t>
            </w:r>
          </w:p>
        </w:tc>
        <w:tc>
          <w:tcPr>
            <w:tcW w:w="5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630.12</w:t>
            </w:r>
          </w:p>
        </w:tc>
        <w:tc>
          <w:tcPr>
            <w:tcW w:w="7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587.02</w:t>
            </w:r>
          </w:p>
        </w:tc>
        <w:tc>
          <w:tcPr>
            <w:tcW w:w="5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516.8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70.22</w:t>
            </w:r>
          </w:p>
        </w:tc>
        <w:tc>
          <w:tcPr>
            <w:tcW w:w="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43.10</w:t>
            </w:r>
          </w:p>
        </w:tc>
        <w:tc>
          <w:tcPr>
            <w:tcW w:w="4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普通教育</w:t>
            </w:r>
          </w:p>
        </w:tc>
        <w:tc>
          <w:tcPr>
            <w:tcW w:w="5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630.12</w:t>
            </w:r>
          </w:p>
        </w:tc>
        <w:tc>
          <w:tcPr>
            <w:tcW w:w="7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587.02</w:t>
            </w:r>
          </w:p>
        </w:tc>
        <w:tc>
          <w:tcPr>
            <w:tcW w:w="5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516.8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70.22</w:t>
            </w:r>
          </w:p>
        </w:tc>
        <w:tc>
          <w:tcPr>
            <w:tcW w:w="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43.10</w:t>
            </w:r>
          </w:p>
        </w:tc>
        <w:tc>
          <w:tcPr>
            <w:tcW w:w="4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学前教育</w:t>
            </w:r>
          </w:p>
        </w:tc>
        <w:tc>
          <w:tcPr>
            <w:tcW w:w="5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2.17</w:t>
            </w:r>
          </w:p>
        </w:tc>
        <w:tc>
          <w:tcPr>
            <w:tcW w:w="7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2.17</w:t>
            </w:r>
          </w:p>
        </w:tc>
        <w:tc>
          <w:tcPr>
            <w:tcW w:w="4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小学教育</w:t>
            </w:r>
          </w:p>
        </w:tc>
        <w:tc>
          <w:tcPr>
            <w:tcW w:w="5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627.95</w:t>
            </w:r>
          </w:p>
        </w:tc>
        <w:tc>
          <w:tcPr>
            <w:tcW w:w="7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587.02</w:t>
            </w:r>
          </w:p>
        </w:tc>
        <w:tc>
          <w:tcPr>
            <w:tcW w:w="5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516.8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70.22</w:t>
            </w:r>
          </w:p>
        </w:tc>
        <w:tc>
          <w:tcPr>
            <w:tcW w:w="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40.93</w:t>
            </w:r>
          </w:p>
        </w:tc>
        <w:tc>
          <w:tcPr>
            <w:tcW w:w="4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5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1.44</w:t>
            </w:r>
          </w:p>
        </w:tc>
        <w:tc>
          <w:tcPr>
            <w:tcW w:w="7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1.44</w:t>
            </w:r>
          </w:p>
        </w:tc>
        <w:tc>
          <w:tcPr>
            <w:tcW w:w="4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60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彩票公益金及对应专项债务收入安排的支出</w:t>
            </w:r>
          </w:p>
        </w:tc>
        <w:tc>
          <w:tcPr>
            <w:tcW w:w="5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1.44</w:t>
            </w:r>
          </w:p>
        </w:tc>
        <w:tc>
          <w:tcPr>
            <w:tcW w:w="7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1.44</w:t>
            </w:r>
          </w:p>
        </w:tc>
        <w:tc>
          <w:tcPr>
            <w:tcW w:w="4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60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用于教育事业的彩票公益金支出</w:t>
            </w:r>
          </w:p>
        </w:tc>
        <w:tc>
          <w:tcPr>
            <w:tcW w:w="5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1.44</w:t>
            </w:r>
          </w:p>
        </w:tc>
        <w:tc>
          <w:tcPr>
            <w:tcW w:w="7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1.44</w:t>
            </w:r>
          </w:p>
        </w:tc>
        <w:tc>
          <w:tcPr>
            <w:tcW w:w="4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5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631.56</w:t>
            </w:r>
          </w:p>
        </w:tc>
        <w:tc>
          <w:tcPr>
            <w:tcW w:w="7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587.02</w:t>
            </w:r>
          </w:p>
        </w:tc>
        <w:tc>
          <w:tcPr>
            <w:tcW w:w="5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516.8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70.22</w:t>
            </w:r>
          </w:p>
        </w:tc>
        <w:tc>
          <w:tcPr>
            <w:tcW w:w="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44.54</w:t>
            </w:r>
          </w:p>
        </w:tc>
        <w:tc>
          <w:tcPr>
            <w:tcW w:w="4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745"/>
        <w:gridCol w:w="524"/>
        <w:gridCol w:w="524"/>
        <w:gridCol w:w="4207"/>
        <w:gridCol w:w="566"/>
        <w:gridCol w:w="917"/>
        <w:gridCol w:w="91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支出总体情况表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：皮山县康克尔柯尔克孜民族乡中心小学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单位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24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支出预算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9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420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56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91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91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5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5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4207" w:type="dxa"/>
            <w:vMerge w:val="continue"/>
          </w:tcPr>
          <w:p/>
        </w:tc>
        <w:tc>
          <w:tcPr>
            <w:tcW w:w="566" w:type="dxa"/>
            <w:vMerge w:val="continue"/>
          </w:tcPr>
          <w:p/>
        </w:tc>
        <w:tc>
          <w:tcPr>
            <w:tcW w:w="917" w:type="dxa"/>
            <w:vMerge w:val="continue"/>
          </w:tcPr>
          <w:p/>
        </w:tc>
        <w:tc>
          <w:tcPr>
            <w:tcW w:w="917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5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42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教育支出</w:t>
            </w:r>
          </w:p>
        </w:tc>
        <w:tc>
          <w:tcPr>
            <w:tcW w:w="5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630.12</w:t>
            </w:r>
          </w:p>
        </w:tc>
        <w:tc>
          <w:tcPr>
            <w:tcW w:w="9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516.8</w:t>
            </w:r>
          </w:p>
        </w:tc>
        <w:tc>
          <w:tcPr>
            <w:tcW w:w="9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113.32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5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5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42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普通教育</w:t>
            </w:r>
          </w:p>
        </w:tc>
        <w:tc>
          <w:tcPr>
            <w:tcW w:w="5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630.12</w:t>
            </w:r>
          </w:p>
        </w:tc>
        <w:tc>
          <w:tcPr>
            <w:tcW w:w="9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516.8</w:t>
            </w:r>
          </w:p>
        </w:tc>
        <w:tc>
          <w:tcPr>
            <w:tcW w:w="9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113.32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5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5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42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学前教育</w:t>
            </w:r>
          </w:p>
        </w:tc>
        <w:tc>
          <w:tcPr>
            <w:tcW w:w="5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2.17</w:t>
            </w:r>
          </w:p>
        </w:tc>
        <w:tc>
          <w:tcPr>
            <w:tcW w:w="9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9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2.17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5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5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42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小学教育</w:t>
            </w:r>
          </w:p>
        </w:tc>
        <w:tc>
          <w:tcPr>
            <w:tcW w:w="5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627.95</w:t>
            </w:r>
          </w:p>
        </w:tc>
        <w:tc>
          <w:tcPr>
            <w:tcW w:w="9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516.8</w:t>
            </w:r>
          </w:p>
        </w:tc>
        <w:tc>
          <w:tcPr>
            <w:tcW w:w="9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111.15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5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42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5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1.44</w:t>
            </w:r>
          </w:p>
        </w:tc>
        <w:tc>
          <w:tcPr>
            <w:tcW w:w="9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9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1.44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5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60</w:t>
            </w:r>
          </w:p>
        </w:tc>
        <w:tc>
          <w:tcPr>
            <w:tcW w:w="5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42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彩票公益金及对应专项债务收入安排的支出</w:t>
            </w:r>
          </w:p>
        </w:tc>
        <w:tc>
          <w:tcPr>
            <w:tcW w:w="5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1.44</w:t>
            </w:r>
          </w:p>
        </w:tc>
        <w:tc>
          <w:tcPr>
            <w:tcW w:w="9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9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1.44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5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60</w:t>
            </w:r>
          </w:p>
        </w:tc>
        <w:tc>
          <w:tcPr>
            <w:tcW w:w="5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42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用于教育事业的彩票公益金支出</w:t>
            </w:r>
          </w:p>
        </w:tc>
        <w:tc>
          <w:tcPr>
            <w:tcW w:w="5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1.44</w:t>
            </w:r>
          </w:p>
        </w:tc>
        <w:tc>
          <w:tcPr>
            <w:tcW w:w="9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9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1.44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42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5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631.56</w:t>
            </w:r>
          </w:p>
        </w:tc>
        <w:tc>
          <w:tcPr>
            <w:tcW w:w="9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516.8</w:t>
            </w:r>
          </w:p>
        </w:tc>
        <w:tc>
          <w:tcPr>
            <w:tcW w:w="9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114.76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2163"/>
        <w:gridCol w:w="517"/>
        <w:gridCol w:w="2858"/>
        <w:gridCol w:w="825"/>
        <w:gridCol w:w="630"/>
        <w:gridCol w:w="555"/>
        <w:gridCol w:w="85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财政拨款收支预算总体情况表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636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：皮山县康克尔柯尔克孜民族乡中心小学</w:t>
            </w:r>
          </w:p>
        </w:tc>
        <w:tc>
          <w:tcPr>
            <w:tcW w:w="2037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单位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财政拨款收入</w:t>
            </w:r>
          </w:p>
        </w:tc>
        <w:tc>
          <w:tcPr>
            <w:tcW w:w="572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    目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 计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 能 分 类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 计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一、财政拨款（补助）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587.02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 一般公共服务支出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一般公共预算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587.02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 外交支出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政府性基金预算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 国防支出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国有资本经营预算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 公共安全支出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 教育支出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587.02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587.02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 科学技术支出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 文化旅游体育与传媒支出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 社会保障和就业支出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 社会保险基金支出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 卫生健康支出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 节能环保支出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 城乡社区支出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 农林水支出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 交通运输支出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 资源勘探工业信息等支出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 商业服务业等支出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 金融支出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 援助其他地区支出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 自然资源海洋气象等支出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 住房保障支出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 粮油物资储备支出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 国有资本经营预算支出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 灾害防治及应急管理支出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 预备费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 其他支出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 转移性支出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 债务还本支出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 债务付息支出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 债务发行费用支出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 抗疫特别国债安排的支出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  入  总  计</w:t>
            </w:r>
          </w:p>
        </w:tc>
        <w:tc>
          <w:tcPr>
            <w:tcW w:w="5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587.02</w:t>
            </w:r>
          </w:p>
        </w:tc>
        <w:tc>
          <w:tcPr>
            <w:tcW w:w="28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  出  总  计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587.02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587.02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058"/>
        <w:gridCol w:w="744"/>
        <w:gridCol w:w="744"/>
        <w:gridCol w:w="2947"/>
        <w:gridCol w:w="889"/>
        <w:gridCol w:w="1009"/>
        <w:gridCol w:w="1009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49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：皮山县康克尔柯尔克孜民族乡中心小学</w:t>
            </w:r>
          </w:p>
        </w:tc>
        <w:tc>
          <w:tcPr>
            <w:tcW w:w="2907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单位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493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2907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546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294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88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计</w:t>
            </w:r>
          </w:p>
        </w:tc>
        <w:tc>
          <w:tcPr>
            <w:tcW w:w="100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00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7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7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2947" w:type="dxa"/>
            <w:vMerge w:val="continue"/>
          </w:tcPr>
          <w:p/>
        </w:tc>
        <w:tc>
          <w:tcPr>
            <w:tcW w:w="889" w:type="dxa"/>
            <w:vMerge w:val="continue"/>
          </w:tcPr>
          <w:p/>
        </w:tc>
        <w:tc>
          <w:tcPr>
            <w:tcW w:w="1009" w:type="dxa"/>
            <w:vMerge w:val="continue"/>
          </w:tcPr>
          <w:p/>
        </w:tc>
        <w:tc>
          <w:tcPr>
            <w:tcW w:w="1009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7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9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教育支出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587.02</w:t>
            </w: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516.8</w:t>
            </w: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70.22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7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7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9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普通教育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587.02</w:t>
            </w: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516.8</w:t>
            </w: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70.22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7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7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9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小学教育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587.02</w:t>
            </w: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516.8</w:t>
            </w: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70.22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9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587.02</w:t>
            </w: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516.8</w:t>
            </w: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70.22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082"/>
        <w:gridCol w:w="760"/>
        <w:gridCol w:w="3734"/>
        <w:gridCol w:w="941"/>
        <w:gridCol w:w="941"/>
        <w:gridCol w:w="94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一般公共预算基本支出情况表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57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：皮山县康克尔柯尔克孜民族乡中心小学</w:t>
            </w:r>
          </w:p>
        </w:tc>
        <w:tc>
          <w:tcPr>
            <w:tcW w:w="282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单位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576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282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一般公共预算基本支出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842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经济分类科目编码</w:t>
            </w:r>
          </w:p>
        </w:tc>
        <w:tc>
          <w:tcPr>
            <w:tcW w:w="373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经济分类科目名称</w:t>
            </w:r>
          </w:p>
        </w:tc>
        <w:tc>
          <w:tcPr>
            <w:tcW w:w="94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 计</w:t>
            </w:r>
          </w:p>
        </w:tc>
        <w:tc>
          <w:tcPr>
            <w:tcW w:w="94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人员经费</w:t>
            </w:r>
          </w:p>
        </w:tc>
        <w:tc>
          <w:tcPr>
            <w:tcW w:w="942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公用经费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8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3734" w:type="dxa"/>
            <w:vMerge w:val="continue"/>
          </w:tcPr>
          <w:p/>
        </w:tc>
        <w:tc>
          <w:tcPr>
            <w:tcW w:w="941" w:type="dxa"/>
            <w:vMerge w:val="continue"/>
          </w:tcPr>
          <w:p/>
        </w:tc>
        <w:tc>
          <w:tcPr>
            <w:tcW w:w="941" w:type="dxa"/>
            <w:vMerge w:val="continue"/>
          </w:tcPr>
          <w:p/>
        </w:tc>
        <w:tc>
          <w:tcPr>
            <w:tcW w:w="942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8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7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工资福利支出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507.26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507.26</w:t>
            </w: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8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37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基本工资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129.07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129.07</w:t>
            </w: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8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7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津贴补贴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119.4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119.4</w:t>
            </w: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8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37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奖金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38.09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38.09</w:t>
            </w: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8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07</w:t>
            </w:r>
          </w:p>
        </w:tc>
        <w:tc>
          <w:tcPr>
            <w:tcW w:w="37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绩效工资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80.57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80.57</w:t>
            </w: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8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37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基本养老保险缴费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51.81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51.81</w:t>
            </w: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8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37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职业年金缴费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25.91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25.91</w:t>
            </w: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8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37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城镇职工基本医疗保险缴费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21.05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21.05</w:t>
            </w: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8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12</w:t>
            </w:r>
          </w:p>
        </w:tc>
        <w:tc>
          <w:tcPr>
            <w:tcW w:w="37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其他社会保障缴费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2.5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2.5</w:t>
            </w: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8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13</w:t>
            </w:r>
          </w:p>
        </w:tc>
        <w:tc>
          <w:tcPr>
            <w:tcW w:w="37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住房公积金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38.86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38.86</w:t>
            </w: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8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7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对个人和家庭的补助支出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9.54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9.54</w:t>
            </w: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8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7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退休费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8.39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8.39</w:t>
            </w: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8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37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生活补助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1.15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1.15</w:t>
            </w: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8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7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516.80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516.80</w:t>
            </w: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38"/>
        <w:gridCol w:w="237"/>
        <w:gridCol w:w="237"/>
        <w:gridCol w:w="322"/>
        <w:gridCol w:w="1771"/>
        <w:gridCol w:w="551"/>
        <w:gridCol w:w="380"/>
        <w:gridCol w:w="580"/>
        <w:gridCol w:w="637"/>
        <w:gridCol w:w="466"/>
        <w:gridCol w:w="695"/>
        <w:gridCol w:w="351"/>
        <w:gridCol w:w="695"/>
        <w:gridCol w:w="351"/>
        <w:gridCol w:w="466"/>
        <w:gridCol w:w="32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一般公共预算项目支出情况表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260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：皮山县康克尔柯尔克孜民族乡中心小学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单位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科目编码</w:t>
            </w:r>
          </w:p>
        </w:tc>
        <w:tc>
          <w:tcPr>
            <w:tcW w:w="322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科目名称</w:t>
            </w:r>
          </w:p>
        </w:tc>
        <w:tc>
          <w:tcPr>
            <w:tcW w:w="177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项目名称</w:t>
            </w:r>
          </w:p>
        </w:tc>
        <w:tc>
          <w:tcPr>
            <w:tcW w:w="55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项目支出合计</w:t>
            </w:r>
          </w:p>
        </w:tc>
        <w:tc>
          <w:tcPr>
            <w:tcW w:w="38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工资福利支出</w:t>
            </w:r>
          </w:p>
        </w:tc>
        <w:tc>
          <w:tcPr>
            <w:tcW w:w="58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商品和服务支出</w:t>
            </w:r>
          </w:p>
        </w:tc>
        <w:tc>
          <w:tcPr>
            <w:tcW w:w="63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对个人和家庭的补助</w:t>
            </w:r>
          </w:p>
        </w:tc>
        <w:tc>
          <w:tcPr>
            <w:tcW w:w="46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债务利息及费用支出</w:t>
            </w:r>
          </w:p>
        </w:tc>
        <w:tc>
          <w:tcPr>
            <w:tcW w:w="69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资本性支出（基本建设）</w:t>
            </w:r>
          </w:p>
        </w:tc>
        <w:tc>
          <w:tcPr>
            <w:tcW w:w="35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</w:t>
            </w:r>
          </w:p>
        </w:tc>
        <w:tc>
          <w:tcPr>
            <w:tcW w:w="69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对企业补助（基本建设）</w:t>
            </w:r>
          </w:p>
        </w:tc>
        <w:tc>
          <w:tcPr>
            <w:tcW w:w="35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</w:t>
            </w:r>
          </w:p>
        </w:tc>
        <w:tc>
          <w:tcPr>
            <w:tcW w:w="46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对社会保障基金补助</w:t>
            </w:r>
          </w:p>
        </w:tc>
        <w:tc>
          <w:tcPr>
            <w:tcW w:w="32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其他支出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322" w:type="dxa"/>
            <w:vMerge w:val="continue"/>
          </w:tcPr>
          <w:p/>
        </w:tc>
        <w:tc>
          <w:tcPr>
            <w:tcW w:w="1771" w:type="dxa"/>
            <w:vMerge w:val="continue"/>
          </w:tcPr>
          <w:p/>
        </w:tc>
        <w:tc>
          <w:tcPr>
            <w:tcW w:w="551" w:type="dxa"/>
            <w:vMerge w:val="continue"/>
          </w:tcPr>
          <w:p/>
        </w:tc>
        <w:tc>
          <w:tcPr>
            <w:tcW w:w="380" w:type="dxa"/>
            <w:vMerge w:val="continue"/>
          </w:tcPr>
          <w:p/>
        </w:tc>
        <w:tc>
          <w:tcPr>
            <w:tcW w:w="580" w:type="dxa"/>
            <w:vMerge w:val="continue"/>
          </w:tcPr>
          <w:p/>
        </w:tc>
        <w:tc>
          <w:tcPr>
            <w:tcW w:w="637" w:type="dxa"/>
            <w:vMerge w:val="continue"/>
          </w:tcPr>
          <w:p/>
        </w:tc>
        <w:tc>
          <w:tcPr>
            <w:tcW w:w="466" w:type="dxa"/>
            <w:vMerge w:val="continue"/>
          </w:tcPr>
          <w:p/>
        </w:tc>
        <w:tc>
          <w:tcPr>
            <w:tcW w:w="695" w:type="dxa"/>
            <w:vMerge w:val="continue"/>
          </w:tcPr>
          <w:p/>
        </w:tc>
        <w:tc>
          <w:tcPr>
            <w:tcW w:w="351" w:type="dxa"/>
            <w:vMerge w:val="continue"/>
          </w:tcPr>
          <w:p/>
        </w:tc>
        <w:tc>
          <w:tcPr>
            <w:tcW w:w="695" w:type="dxa"/>
            <w:vMerge w:val="continue"/>
          </w:tcPr>
          <w:p/>
        </w:tc>
        <w:tc>
          <w:tcPr>
            <w:tcW w:w="351" w:type="dxa"/>
            <w:vMerge w:val="continue"/>
          </w:tcPr>
          <w:p/>
        </w:tc>
        <w:tc>
          <w:tcPr>
            <w:tcW w:w="466" w:type="dxa"/>
            <w:vMerge w:val="continue"/>
          </w:tcPr>
          <w:p/>
        </w:tc>
        <w:tc>
          <w:tcPr>
            <w:tcW w:w="323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教育支出</w:t>
            </w:r>
          </w:p>
        </w:tc>
        <w:tc>
          <w:tcPr>
            <w:tcW w:w="17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70.22</w:t>
            </w:r>
          </w:p>
        </w:tc>
        <w:tc>
          <w:tcPr>
            <w:tcW w:w="3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25.93</w:t>
            </w: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44.29</w:t>
            </w: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普通教育</w:t>
            </w:r>
          </w:p>
        </w:tc>
        <w:tc>
          <w:tcPr>
            <w:tcW w:w="17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70.22</w:t>
            </w:r>
          </w:p>
        </w:tc>
        <w:tc>
          <w:tcPr>
            <w:tcW w:w="3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25.93</w:t>
            </w: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44.29</w:t>
            </w: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小学教育</w:t>
            </w:r>
          </w:p>
        </w:tc>
        <w:tc>
          <w:tcPr>
            <w:tcW w:w="17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2023年城乡义务教育补助经费-家庭经济困难学生综合奖补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〔2022〕70号</w:t>
            </w:r>
          </w:p>
        </w:tc>
        <w:tc>
          <w:tcPr>
            <w:tcW w:w="5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2.17</w:t>
            </w:r>
          </w:p>
        </w:tc>
        <w:tc>
          <w:tcPr>
            <w:tcW w:w="3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2.17</w:t>
            </w: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小学教育</w:t>
            </w:r>
          </w:p>
        </w:tc>
        <w:tc>
          <w:tcPr>
            <w:tcW w:w="17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2023年城乡义务教育补助经费-特殊教育补助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〔2022〕75号</w:t>
            </w:r>
          </w:p>
        </w:tc>
        <w:tc>
          <w:tcPr>
            <w:tcW w:w="5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0.14</w:t>
            </w:r>
          </w:p>
        </w:tc>
        <w:tc>
          <w:tcPr>
            <w:tcW w:w="3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0.14</w:t>
            </w: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小学教育</w:t>
            </w:r>
          </w:p>
        </w:tc>
        <w:tc>
          <w:tcPr>
            <w:tcW w:w="17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2023年城乡义务教育补助经费-特殊教育补助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〔2022〕70号</w:t>
            </w:r>
          </w:p>
        </w:tc>
        <w:tc>
          <w:tcPr>
            <w:tcW w:w="5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0.63</w:t>
            </w:r>
          </w:p>
        </w:tc>
        <w:tc>
          <w:tcPr>
            <w:tcW w:w="3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0.63</w:t>
            </w: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小学教育</w:t>
            </w:r>
          </w:p>
        </w:tc>
        <w:tc>
          <w:tcPr>
            <w:tcW w:w="17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2023年城乡义务教育补助经费-农村学生营养改善补助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〔2022〕70号</w:t>
            </w:r>
          </w:p>
        </w:tc>
        <w:tc>
          <w:tcPr>
            <w:tcW w:w="5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27.15</w:t>
            </w:r>
          </w:p>
        </w:tc>
        <w:tc>
          <w:tcPr>
            <w:tcW w:w="3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27.15</w:t>
            </w: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小学教育</w:t>
            </w:r>
          </w:p>
        </w:tc>
        <w:tc>
          <w:tcPr>
            <w:tcW w:w="17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2023年城乡义务教育补助经费-公用经费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〔2022〕75号</w:t>
            </w:r>
          </w:p>
        </w:tc>
        <w:tc>
          <w:tcPr>
            <w:tcW w:w="5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4.4</w:t>
            </w:r>
          </w:p>
        </w:tc>
        <w:tc>
          <w:tcPr>
            <w:tcW w:w="3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4.4</w:t>
            </w: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小学教育</w:t>
            </w:r>
          </w:p>
        </w:tc>
        <w:tc>
          <w:tcPr>
            <w:tcW w:w="17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2023年城乡义务教育补助经费-家庭经济困难学生生活补助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〔2022〕70号</w:t>
            </w:r>
          </w:p>
        </w:tc>
        <w:tc>
          <w:tcPr>
            <w:tcW w:w="5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6.25</w:t>
            </w:r>
          </w:p>
        </w:tc>
        <w:tc>
          <w:tcPr>
            <w:tcW w:w="3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6.25</w:t>
            </w: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小学教育</w:t>
            </w:r>
          </w:p>
        </w:tc>
        <w:tc>
          <w:tcPr>
            <w:tcW w:w="17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2023年城乡义务教育补助经费-家庭经济困难学生生活补助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〔2022〕75号</w:t>
            </w:r>
          </w:p>
        </w:tc>
        <w:tc>
          <w:tcPr>
            <w:tcW w:w="5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8.72</w:t>
            </w:r>
          </w:p>
        </w:tc>
        <w:tc>
          <w:tcPr>
            <w:tcW w:w="3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8.72</w:t>
            </w: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小学教育</w:t>
            </w:r>
          </w:p>
        </w:tc>
        <w:tc>
          <w:tcPr>
            <w:tcW w:w="17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2023年城乡义务教育补助经费-公用经费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〔2022〕70号</w:t>
            </w:r>
          </w:p>
        </w:tc>
        <w:tc>
          <w:tcPr>
            <w:tcW w:w="5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20.76</w:t>
            </w:r>
          </w:p>
        </w:tc>
        <w:tc>
          <w:tcPr>
            <w:tcW w:w="3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20.76</w:t>
            </w: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7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5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70.22</w:t>
            </w:r>
          </w:p>
        </w:tc>
        <w:tc>
          <w:tcPr>
            <w:tcW w:w="3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25.93</w:t>
            </w: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44.29</w:t>
            </w: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864"/>
        <w:gridCol w:w="864"/>
        <w:gridCol w:w="864"/>
        <w:gridCol w:w="3429"/>
        <w:gridCol w:w="736"/>
        <w:gridCol w:w="821"/>
        <w:gridCol w:w="82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政府性基金预算支出情况表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021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：皮山县康克尔柯尔克孜民族乡中心小学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单位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021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2379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59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342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73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计</w:t>
            </w:r>
          </w:p>
        </w:tc>
        <w:tc>
          <w:tcPr>
            <w:tcW w:w="82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822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8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8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3429" w:type="dxa"/>
            <w:vMerge w:val="continue"/>
          </w:tcPr>
          <w:p/>
        </w:tc>
        <w:tc>
          <w:tcPr>
            <w:tcW w:w="736" w:type="dxa"/>
            <w:vMerge w:val="continue"/>
          </w:tcPr>
          <w:p/>
        </w:tc>
        <w:tc>
          <w:tcPr>
            <w:tcW w:w="821" w:type="dxa"/>
            <w:vMerge w:val="continue"/>
          </w:tcPr>
          <w:p/>
        </w:tc>
        <w:tc>
          <w:tcPr>
            <w:tcW w:w="822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4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7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64" w:type="dxa"/>
          </w:tcPr>
          <w:p/>
        </w:tc>
        <w:tc>
          <w:tcPr>
            <w:tcW w:w="864" w:type="dxa"/>
          </w:tcPr>
          <w:p/>
        </w:tc>
        <w:tc>
          <w:tcPr>
            <w:tcW w:w="864" w:type="dxa"/>
          </w:tcPr>
          <w:p/>
        </w:tc>
        <w:tc>
          <w:tcPr>
            <w:tcW w:w="3429" w:type="dxa"/>
          </w:tcPr>
          <w:p/>
        </w:tc>
        <w:tc>
          <w:tcPr>
            <w:tcW w:w="736" w:type="dxa"/>
          </w:tcPr>
          <w:p/>
        </w:tc>
        <w:tc>
          <w:tcPr>
            <w:tcW w:w="821" w:type="dxa"/>
          </w:tcPr>
          <w:p/>
        </w:tc>
        <w:tc>
          <w:tcPr>
            <w:tcW w:w="822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64" w:type="dxa"/>
          </w:tcPr>
          <w:p/>
        </w:tc>
        <w:tc>
          <w:tcPr>
            <w:tcW w:w="864" w:type="dxa"/>
          </w:tcPr>
          <w:p/>
        </w:tc>
        <w:tc>
          <w:tcPr>
            <w:tcW w:w="864" w:type="dxa"/>
          </w:tcPr>
          <w:p/>
        </w:tc>
        <w:tc>
          <w:tcPr>
            <w:tcW w:w="3429" w:type="dxa"/>
          </w:tcPr>
          <w:p/>
        </w:tc>
        <w:tc>
          <w:tcPr>
            <w:tcW w:w="736" w:type="dxa"/>
          </w:tcPr>
          <w:p/>
        </w:tc>
        <w:tc>
          <w:tcPr>
            <w:tcW w:w="821" w:type="dxa"/>
          </w:tcPr>
          <w:p/>
        </w:tc>
        <w:tc>
          <w:tcPr>
            <w:tcW w:w="822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64" w:type="dxa"/>
          </w:tcPr>
          <w:p/>
        </w:tc>
        <w:tc>
          <w:tcPr>
            <w:tcW w:w="864" w:type="dxa"/>
          </w:tcPr>
          <w:p/>
        </w:tc>
        <w:tc>
          <w:tcPr>
            <w:tcW w:w="864" w:type="dxa"/>
          </w:tcPr>
          <w:p/>
        </w:tc>
        <w:tc>
          <w:tcPr>
            <w:tcW w:w="3429" w:type="dxa"/>
          </w:tcPr>
          <w:p/>
        </w:tc>
        <w:tc>
          <w:tcPr>
            <w:tcW w:w="736" w:type="dxa"/>
          </w:tcPr>
          <w:p/>
        </w:tc>
        <w:tc>
          <w:tcPr>
            <w:tcW w:w="821" w:type="dxa"/>
          </w:tcPr>
          <w:p/>
        </w:tc>
        <w:tc>
          <w:tcPr>
            <w:tcW w:w="822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64" w:type="dxa"/>
          </w:tcPr>
          <w:p/>
        </w:tc>
        <w:tc>
          <w:tcPr>
            <w:tcW w:w="864" w:type="dxa"/>
          </w:tcPr>
          <w:p/>
        </w:tc>
        <w:tc>
          <w:tcPr>
            <w:tcW w:w="864" w:type="dxa"/>
          </w:tcPr>
          <w:p/>
        </w:tc>
        <w:tc>
          <w:tcPr>
            <w:tcW w:w="3429" w:type="dxa"/>
          </w:tcPr>
          <w:p/>
        </w:tc>
        <w:tc>
          <w:tcPr>
            <w:tcW w:w="736" w:type="dxa"/>
          </w:tcPr>
          <w:p/>
        </w:tc>
        <w:tc>
          <w:tcPr>
            <w:tcW w:w="821" w:type="dxa"/>
          </w:tcPr>
          <w:p/>
        </w:tc>
        <w:tc>
          <w:tcPr>
            <w:tcW w:w="822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64" w:type="dxa"/>
          </w:tcPr>
          <w:p/>
        </w:tc>
        <w:tc>
          <w:tcPr>
            <w:tcW w:w="864" w:type="dxa"/>
          </w:tcPr>
          <w:p/>
        </w:tc>
        <w:tc>
          <w:tcPr>
            <w:tcW w:w="864" w:type="dxa"/>
          </w:tcPr>
          <w:p/>
        </w:tc>
        <w:tc>
          <w:tcPr>
            <w:tcW w:w="3429" w:type="dxa"/>
          </w:tcPr>
          <w:p/>
        </w:tc>
        <w:tc>
          <w:tcPr>
            <w:tcW w:w="736" w:type="dxa"/>
          </w:tcPr>
          <w:p/>
        </w:tc>
        <w:tc>
          <w:tcPr>
            <w:tcW w:w="821" w:type="dxa"/>
          </w:tcPr>
          <w:p/>
        </w:tc>
        <w:tc>
          <w:tcPr>
            <w:tcW w:w="822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皮山县康克尔柯尔克孜民族乡中心小学2023年没有使用政府性基金预算拨款安排的支出，政府性基金预算支出情况表为空表。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866"/>
        <w:gridCol w:w="866"/>
        <w:gridCol w:w="867"/>
        <w:gridCol w:w="3439"/>
        <w:gridCol w:w="669"/>
        <w:gridCol w:w="846"/>
        <w:gridCol w:w="84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国有资本经营预算支出情况表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03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：皮山县康克尔柯尔克孜民族乡中心小学</w:t>
            </w:r>
          </w:p>
        </w:tc>
        <w:tc>
          <w:tcPr>
            <w:tcW w:w="236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单位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038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236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599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343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66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计</w:t>
            </w:r>
          </w:p>
        </w:tc>
        <w:tc>
          <w:tcPr>
            <w:tcW w:w="84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84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8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3439" w:type="dxa"/>
            <w:vMerge w:val="continue"/>
          </w:tcPr>
          <w:p/>
        </w:tc>
        <w:tc>
          <w:tcPr>
            <w:tcW w:w="669" w:type="dxa"/>
            <w:vMerge w:val="continue"/>
          </w:tcPr>
          <w:p/>
        </w:tc>
        <w:tc>
          <w:tcPr>
            <w:tcW w:w="846" w:type="dxa"/>
            <w:vMerge w:val="continue"/>
          </w:tcPr>
          <w:p/>
        </w:tc>
        <w:tc>
          <w:tcPr>
            <w:tcW w:w="847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4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6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66" w:type="dxa"/>
          </w:tcPr>
          <w:p/>
        </w:tc>
        <w:tc>
          <w:tcPr>
            <w:tcW w:w="866" w:type="dxa"/>
          </w:tcPr>
          <w:p/>
        </w:tc>
        <w:tc>
          <w:tcPr>
            <w:tcW w:w="867" w:type="dxa"/>
          </w:tcPr>
          <w:p/>
        </w:tc>
        <w:tc>
          <w:tcPr>
            <w:tcW w:w="3439" w:type="dxa"/>
          </w:tcPr>
          <w:p/>
        </w:tc>
        <w:tc>
          <w:tcPr>
            <w:tcW w:w="669" w:type="dxa"/>
          </w:tcPr>
          <w:p/>
        </w:tc>
        <w:tc>
          <w:tcPr>
            <w:tcW w:w="846" w:type="dxa"/>
          </w:tcPr>
          <w:p/>
        </w:tc>
        <w:tc>
          <w:tcPr>
            <w:tcW w:w="847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66" w:type="dxa"/>
          </w:tcPr>
          <w:p/>
        </w:tc>
        <w:tc>
          <w:tcPr>
            <w:tcW w:w="866" w:type="dxa"/>
          </w:tcPr>
          <w:p/>
        </w:tc>
        <w:tc>
          <w:tcPr>
            <w:tcW w:w="867" w:type="dxa"/>
          </w:tcPr>
          <w:p/>
        </w:tc>
        <w:tc>
          <w:tcPr>
            <w:tcW w:w="3439" w:type="dxa"/>
          </w:tcPr>
          <w:p/>
        </w:tc>
        <w:tc>
          <w:tcPr>
            <w:tcW w:w="669" w:type="dxa"/>
          </w:tcPr>
          <w:p/>
        </w:tc>
        <w:tc>
          <w:tcPr>
            <w:tcW w:w="846" w:type="dxa"/>
          </w:tcPr>
          <w:p/>
        </w:tc>
        <w:tc>
          <w:tcPr>
            <w:tcW w:w="847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66" w:type="dxa"/>
          </w:tcPr>
          <w:p/>
        </w:tc>
        <w:tc>
          <w:tcPr>
            <w:tcW w:w="866" w:type="dxa"/>
          </w:tcPr>
          <w:p/>
        </w:tc>
        <w:tc>
          <w:tcPr>
            <w:tcW w:w="867" w:type="dxa"/>
          </w:tcPr>
          <w:p/>
        </w:tc>
        <w:tc>
          <w:tcPr>
            <w:tcW w:w="3439" w:type="dxa"/>
          </w:tcPr>
          <w:p/>
        </w:tc>
        <w:tc>
          <w:tcPr>
            <w:tcW w:w="669" w:type="dxa"/>
          </w:tcPr>
          <w:p/>
        </w:tc>
        <w:tc>
          <w:tcPr>
            <w:tcW w:w="846" w:type="dxa"/>
          </w:tcPr>
          <w:p/>
        </w:tc>
        <w:tc>
          <w:tcPr>
            <w:tcW w:w="847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66" w:type="dxa"/>
          </w:tcPr>
          <w:p/>
        </w:tc>
        <w:tc>
          <w:tcPr>
            <w:tcW w:w="866" w:type="dxa"/>
          </w:tcPr>
          <w:p/>
        </w:tc>
        <w:tc>
          <w:tcPr>
            <w:tcW w:w="867" w:type="dxa"/>
          </w:tcPr>
          <w:p/>
        </w:tc>
        <w:tc>
          <w:tcPr>
            <w:tcW w:w="3439" w:type="dxa"/>
          </w:tcPr>
          <w:p/>
        </w:tc>
        <w:tc>
          <w:tcPr>
            <w:tcW w:w="669" w:type="dxa"/>
          </w:tcPr>
          <w:p/>
        </w:tc>
        <w:tc>
          <w:tcPr>
            <w:tcW w:w="846" w:type="dxa"/>
          </w:tcPr>
          <w:p/>
        </w:tc>
        <w:tc>
          <w:tcPr>
            <w:tcW w:w="847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66" w:type="dxa"/>
          </w:tcPr>
          <w:p/>
        </w:tc>
        <w:tc>
          <w:tcPr>
            <w:tcW w:w="866" w:type="dxa"/>
          </w:tcPr>
          <w:p/>
        </w:tc>
        <w:tc>
          <w:tcPr>
            <w:tcW w:w="867" w:type="dxa"/>
          </w:tcPr>
          <w:p/>
        </w:tc>
        <w:tc>
          <w:tcPr>
            <w:tcW w:w="3439" w:type="dxa"/>
          </w:tcPr>
          <w:p/>
        </w:tc>
        <w:tc>
          <w:tcPr>
            <w:tcW w:w="669" w:type="dxa"/>
          </w:tcPr>
          <w:p/>
        </w:tc>
        <w:tc>
          <w:tcPr>
            <w:tcW w:w="846" w:type="dxa"/>
          </w:tcPr>
          <w:p/>
        </w:tc>
        <w:tc>
          <w:tcPr>
            <w:tcW w:w="847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皮山县康克尔柯尔克孜民族乡中心小学2023年没有安排国有资本经营预算的支出，国有资本经营预算支出情况表为空表。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4657"/>
        <w:gridCol w:w="787"/>
        <w:gridCol w:w="941"/>
        <w:gridCol w:w="810"/>
        <w:gridCol w:w="120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财政拨款“三公”经费支出情况表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44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：皮山县康克尔柯尔克孜民族乡中心小学</w:t>
            </w:r>
          </w:p>
        </w:tc>
        <w:tc>
          <w:tcPr>
            <w:tcW w:w="295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单位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65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三公支出内容</w:t>
            </w:r>
          </w:p>
        </w:tc>
        <w:tc>
          <w:tcPr>
            <w:tcW w:w="78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2956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资金来源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657" w:type="dxa"/>
            <w:vMerge w:val="continue"/>
          </w:tcPr>
          <w:p/>
        </w:tc>
        <w:tc>
          <w:tcPr>
            <w:tcW w:w="787" w:type="dxa"/>
            <w:vMerge w:val="continue"/>
          </w:tcPr>
          <w:p/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8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</w:t>
            </w:r>
          </w:p>
        </w:tc>
        <w:tc>
          <w:tcPr>
            <w:tcW w:w="12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6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     合计</w:t>
            </w:r>
          </w:p>
        </w:tc>
        <w:tc>
          <w:tcPr>
            <w:tcW w:w="7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6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因公出国(境)费用</w:t>
            </w:r>
          </w:p>
        </w:tc>
        <w:tc>
          <w:tcPr>
            <w:tcW w:w="7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6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  公务接待费</w:t>
            </w:r>
          </w:p>
        </w:tc>
        <w:tc>
          <w:tcPr>
            <w:tcW w:w="7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6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公务用车购置及运行费（小计）</w:t>
            </w:r>
          </w:p>
        </w:tc>
        <w:tc>
          <w:tcPr>
            <w:tcW w:w="7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6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其中：公务用车购置费</w:t>
            </w:r>
          </w:p>
        </w:tc>
        <w:tc>
          <w:tcPr>
            <w:tcW w:w="7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6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   公务用车运行费</w:t>
            </w:r>
          </w:p>
        </w:tc>
        <w:tc>
          <w:tcPr>
            <w:tcW w:w="7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8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皮山县康克尔柯尔克孜民族乡中心小学2023年没有使用财政拨款“三公”经费安排的支出，财政拨款“三公”经费支出情况表为空表。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第三部分 2023年</w:t>
      </w:r>
      <w:r>
        <w:rPr>
          <w:rFonts w:hint="eastAsia" w:ascii="黑体" w:hAnsi="黑体" w:eastAsia="黑体" w:cs="黑体"/>
          <w:position w:val="30"/>
          <w:sz w:val="42"/>
          <w:lang w:eastAsia="zh-CN"/>
        </w:rPr>
        <w:t>部门</w:t>
      </w:r>
      <w:r>
        <w:rPr>
          <w:rFonts w:ascii="黑体" w:hAnsi="黑体" w:eastAsia="黑体" w:cs="黑体"/>
          <w:position w:val="30"/>
          <w:sz w:val="42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一、关于皮山县康克尔柯尔克孜民族乡中心小学2023年收支预算情况的总体说明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按照全口径预算的原则，皮山县康克尔柯尔克孜民族乡中心小学2023年所有收入和支出均纳入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预算管理。收支总预算631.56万元。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收入预算包括：一般公共预算、财政拨款。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支出预算包括：教育支出、其他支出。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二、关于皮山县康克尔柯尔克孜民族乡中心小学2023年收入预算情况说明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皮山县康克尔柯尔克孜民族乡中心小学收入预算631.56万元，其中：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一般公共预算516.8万元，占81.83%，比上年预算增加12.39万元，增长2.46%，主要原因是因退休人员、调整岗位，故工资津贴增加。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上级一般公共预算安排的转移支付资金70.22万元，占11.12%，比上年预算增加70.22万元，增长100.00%，主要原因是2022年年初预算时，未将上级转移支付资金纳入预算数，2023年将上级转移支付资金纳入年初预算。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上级政府性基金安排的转移支付资金未安排。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国有资本经营预算未安排。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上级国有资本经营预算安排的转移支付资金未安排。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财政拨款结转44.54万元，占7.05%，比上年预算增加44.54万元，增长100.00%，主要原因是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202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年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年底未能及时准备材料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，未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按计划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进行支付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本年度预算增加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三、关于皮山县康克尔柯尔克孜民族乡中心小学2023年支出预算情况说明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皮山县康克尔柯尔克孜民族乡中心小学2023年支出预算631.56万元，其中：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基本支出516.8万元，占81.83%，比上年预算增加12.39万元，增长2.46%，主要原因是因退休人员、调整岗位，故工资津贴增加。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项目支出114.76万元，占18.17%，比上年预算增加114.76万元，增长100.00%，主要原因是2022年年初预算时，未将上级转移支付资金纳入预算数，2023年将上级转移支付资金纳入年初预算，主要原因是2022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年年底未能按计划支付，本年度结转资金增加，预算增加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四、关于皮山县康克尔柯尔克孜民族乡中心小学2023年财政拨款收支预算情况的总体说明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2023年财政拨款收支总预算587.02万元。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收入预算包括：一般公共预算拨款587.02万元。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一般公共预算支出包括：教育支出587.02万元，主要用于教师工资，学校取暖费，正常开展教育教学工作。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五、关于皮山县康克尔柯尔克孜民族乡中心小学2023年一般公共预算当年拨款情况说明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皮山县康克尔柯尔克孜民族乡中心小学2023年一般公共预算拨款合计587.02万元，其中：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基本支出516.8万元，比上年预算增加12.39万元，增长2.46%。主要原因是：因退休人员、调整岗位，故工资津贴增加。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项目支出70.22万元，比上年预算增加70.22万元，增长100.00%。主要原因是：2022年年初预算时，未将上级转移支付资金纳入预算数，2023年将上级转移支付资金纳入年初预算。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1.教育支出（类）587.02万元，占100.00%。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教育支出（类）普通教育（款）小学教育（项）:2023年预算数为587.02万元，比上年预算数增加587.02万元，增长100.00%，主要原因是：因退休人员、调整岗位，故工资津贴增加，2022年年初预算时，未将上级转移支付资金纳入预算数，2023年将上级转移支付资金纳入年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六、关于皮山县康克尔柯尔克孜民族乡中心小学2023年一般公共预算基本支出情况说明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皮山县康克尔柯尔克孜民族乡中心小学2023年一般公共预算基本支出516.80万元，其中：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人员经费516.80万元，主要包括：基本工资、津贴补贴、奖金、绩效工资、机关事业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基本养老保险缴费、职业年金缴费、城镇职工基本医疗保险缴费、其他社会保障缴费、住房公积金、退休费、生活补助。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公用经费0万元，主要包括：无。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七、关于皮山县康克尔柯尔克孜民族乡中心小学2023年一般公共预算项目支出情况说明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1.项目名称：2023年城乡义务教育补助经费-特殊教育补助和地财教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〔2022〕75号</w:t>
      </w:r>
      <w:r>
        <w:rPr>
          <w:rFonts w:ascii="仿宋" w:hAnsi="仿宋" w:eastAsia="仿宋" w:cs="仿宋"/>
          <w:position w:val="10"/>
          <w:sz w:val="32"/>
          <w:szCs w:val="32"/>
        </w:rPr>
        <w:t xml:space="preserve">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〔2022〕75号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eastAsia="仿宋"/>
          <w:sz w:val="32"/>
          <w:szCs w:val="32"/>
          <w:lang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预算安排规模：0.13万元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：皮山县康克尔柯尔克孜民族乡中心小学。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2023年01月01日至2023年12月31日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2.项目名称：2023年城乡义务教育补助经费-特殊教育补助 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〔2022〕70号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〔2022〕70号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eastAsia="仿宋"/>
          <w:sz w:val="32"/>
          <w:szCs w:val="32"/>
          <w:lang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预算安排规模：0.63万元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：皮山县康克尔柯尔克孜民族乡中心小学。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2023年01月01日至2023年12月31日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3.项目名称：2023年城乡义务教育补助经费-公用经费 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〔2022〕75号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〔2022〕75号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eastAsia="仿宋"/>
          <w:sz w:val="32"/>
          <w:szCs w:val="32"/>
          <w:lang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预算安排规模：4.39万元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：皮山县康克尔柯尔克孜民族乡中心小学。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2023年01月01日至2023年12月31日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4.项目名称：2023年城乡义务教育补助经费-公用经费 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〔2022〕70号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〔2022〕70号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eastAsia="仿宋"/>
          <w:sz w:val="32"/>
          <w:szCs w:val="32"/>
          <w:lang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预算安排规模：20.76万元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：皮山县康克尔柯尔克孜民族乡中心小学。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2023年01月01日至2023年12月31日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5.项目名称：2023年城乡义务教育补助经费-家 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〔2022〕70号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eastAsia="仿宋"/>
          <w:sz w:val="32"/>
          <w:szCs w:val="32"/>
          <w:lang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预算安排规模：8.4万元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eastAsia="仿宋"/>
          <w:sz w:val="32"/>
          <w:szCs w:val="32"/>
          <w:lang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：皮山县康克尔柯尔克孜民族乡中心小学。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2023年01月01日至2023年12月31日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资金来源：上级一般转移支付资金。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补贴人数：40。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补贴标准：1250元/人/年。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补贴范围：在校寄宿生。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补贴方式：每日早晚餐。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发放程序：学校食堂就餐。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受益人群和社会效益：改善在校寄宿生伙食。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6.项目名称：2023年城乡义务教育补助经费-家庭经济困难学生生活补助 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〔2022〕75号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〔2022〕75号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eastAsia="仿宋"/>
          <w:sz w:val="32"/>
          <w:szCs w:val="32"/>
          <w:lang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预算安排规模：8.7万元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：皮山县康克尔柯尔克孜民族乡中心小学。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2023年01月01日至2023年12月31日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资金来源：上级一般转移支付资金。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补贴人数：40。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补贴标准：1250元/人/年。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补贴范围：在校寄宿生。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补贴方式：每日早晚餐。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发放程序：学校食堂就餐。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受益人群和社会效益：改善在校寄宿生伙食。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7.项目名称：2023年城乡义务教育补助经费-农村学生营养改善补助 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〔2022〕70号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〔2022〕70号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eastAsia="仿宋"/>
          <w:sz w:val="32"/>
          <w:szCs w:val="32"/>
          <w:lang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预算安排规模：27.15万元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：皮山县康克尔柯尔克孜民族乡中心小学。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2023年01月01日至2023年12月31日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资金来源：上级一般转移支付资金。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补贴人数：324。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补贴标准：1000元/人/年。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补贴范围：全学校学生。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补贴方式：每日午餐。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发放程序：学校食堂就餐。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受益人群和社会效益：改善学生营养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饮食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八、关于皮山县康克尔柯尔克孜民族乡中心小学2023年政府性基金预算拨款情况说明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皮山县康克尔柯尔克孜民族乡中心小学2023年没有使用政府性基金预算拨款安排的支出，政府性基金预算支出情况表为空表。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九、关于皮山县康克尔柯尔克孜民族乡中心小学2023年国有资本经营预算拨款情况说明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皮山县康克尔柯尔克孜民族乡中心小学2023年没有使用国有资本经营预算拨款安排的支出，国有资本经营预算支出情况表为空表。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十、关于皮山县康克尔柯尔克孜民族乡中心小学2023年财政拨款“三公”经费预算情况说明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皮山县康克尔柯尔克孜民族乡中心小学2023年财政拨款“三公”经费数为0万元，其中：因公出国（境）费0万元，公务用车购置费0万元，公务用车运行费0万元，公务接待费0万元。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2023年财政拨款“三公”经费比上年预算增加0万元，增长0%，其中：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因公出国（境）费增加0万元，增长0%，主要原因是我校本年度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与</w:t>
      </w:r>
      <w:r>
        <w:rPr>
          <w:rFonts w:ascii="仿宋" w:hAnsi="仿宋" w:eastAsia="仿宋" w:cs="仿宋"/>
          <w:position w:val="10"/>
          <w:sz w:val="32"/>
          <w:szCs w:val="32"/>
        </w:rPr>
        <w:t>上年均无因公出国（境）费。公务用车购置费增加0万元，增长0%，主要原因是我校本年度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与</w:t>
      </w:r>
      <w:r>
        <w:rPr>
          <w:rFonts w:ascii="仿宋" w:hAnsi="仿宋" w:eastAsia="仿宋" w:cs="仿宋"/>
          <w:position w:val="10"/>
          <w:sz w:val="32"/>
          <w:szCs w:val="32"/>
        </w:rPr>
        <w:t>上年均无公务用车购置费。公务用车运行费增加0万元，增长0%，主要原因是我校本年度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与</w:t>
      </w:r>
      <w:r>
        <w:rPr>
          <w:rFonts w:ascii="仿宋" w:hAnsi="仿宋" w:eastAsia="仿宋" w:cs="仿宋"/>
          <w:position w:val="10"/>
          <w:sz w:val="32"/>
          <w:szCs w:val="32"/>
        </w:rPr>
        <w:t>上年均无公务用车运行费。公务接待费增加0万元，增长0%，主要原因是我校本年度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以上</w:t>
      </w:r>
      <w:r>
        <w:rPr>
          <w:rFonts w:ascii="仿宋" w:hAnsi="仿宋" w:eastAsia="仿宋" w:cs="仿宋"/>
          <w:position w:val="10"/>
          <w:sz w:val="32"/>
          <w:szCs w:val="32"/>
        </w:rPr>
        <w:t>年均无公务接待费。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2023年，皮山县康克尔柯尔克孜民族乡中心小学本级及下属0家行政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和0家事业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的机关运行经费财政拨款预算0万元，比上年预算增加0万元，增长0%。主要原因是我校本年度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与</w:t>
      </w:r>
      <w:r>
        <w:rPr>
          <w:rFonts w:ascii="仿宋" w:hAnsi="仿宋" w:eastAsia="仿宋" w:cs="仿宋"/>
          <w:position w:val="10"/>
          <w:sz w:val="32"/>
          <w:szCs w:val="32"/>
        </w:rPr>
        <w:t>上年均无机关运行经费。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2023年，皮山县康克尔柯尔克孜民族乡中心小学政府采购预算0万元，其中：政府采购货物预算0万元，政府采购工程预算0万元，政府采购服务预算0万元。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2023年度本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面向中小企业预留政府采购项目预算金额0万元，其中：面向小微企业预留政府采购项目预算金额0万元。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截至2022年底，皮山县康克尔柯尔克孜民族乡中心小学及下属各预算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占用使用国有资产总体情况为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1.房屋0平方米，价值0万元。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2.车辆0辆，价值0.00万元；其中：一般公务用车0辆，价值0万元；执法执勤用车0辆，价值0万元；其他车辆0辆，价值0万元。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3.办公家具价值0万元。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4.其他资产价值0万元。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价值50万元以上大型设备0台，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预算安排购置车辆经费0万元，安排购置50万元以上大型设备0台，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（四）预算绩效情况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2023年，本年度预算绩效管理的财政拨款项目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7</w:t>
      </w:r>
      <w:r>
        <w:rPr>
          <w:rFonts w:ascii="仿宋" w:hAnsi="仿宋" w:eastAsia="仿宋" w:cs="仿宋"/>
          <w:position w:val="10"/>
          <w:sz w:val="32"/>
          <w:szCs w:val="32"/>
        </w:rPr>
        <w:t>个，涉及预算金额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70.22</w:t>
      </w:r>
      <w:r>
        <w:rPr>
          <w:rFonts w:ascii="仿宋" w:hAnsi="仿宋" w:eastAsia="仿宋" w:cs="仿宋"/>
          <w:position w:val="10"/>
          <w:sz w:val="32"/>
          <w:szCs w:val="32"/>
        </w:rPr>
        <w:t>万元；非财政拨款项目0个，涉及预算金额0万元。</w:t>
      </w:r>
    </w:p>
    <w:tbl>
      <w:tblPr>
        <w:tblStyle w:val="4"/>
        <w:tblpPr w:leftFromText="180" w:rightFromText="180" w:vertAnchor="text" w:horzAnchor="page" w:tblpX="1493" w:tblpY="-1252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皮山县康克尔柯尔克孜民族乡中心小学整体绩效目标表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（2023年）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皮山县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  <w:lang w:eastAsia="zh-CN"/>
              </w:rPr>
              <w:t>康克尔柯尔克孜民族乡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中心小学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阿卜拉·图尔荪尼亚孜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13565529303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保障人员工资及时发放，保障学校正常运转、完成教育教学活动和其他日常工作任务等方面的支出;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改进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办学条件，提高群众满意度;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严格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财经纪律、强化监督管理，按时划拨资金、确保资金使用合理、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高效。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70.22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1561.34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成本指标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金额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631.56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万元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其他标准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时效指标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项目完成及时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≥95%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其他标准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预算单位财政业务违规率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≤3%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其他标准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社会效益指标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提高教育水平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效果明显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其他标准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可持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影响指标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提高我校的整体受教育水平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不断提高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其他标准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1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满意度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受益人员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满意度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≥95%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其他标准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</w:tr>
    </w:tbl>
    <w:tbl>
      <w:tblPr>
        <w:tblStyle w:val="4"/>
        <w:tblpPr w:leftFromText="180" w:rightFromText="180" w:vertAnchor="text" w:horzAnchor="page" w:tblpX="1103" w:tblpY="515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870"/>
        <w:gridCol w:w="1996"/>
        <w:gridCol w:w="884"/>
        <w:gridCol w:w="915"/>
        <w:gridCol w:w="1080"/>
        <w:gridCol w:w="1260"/>
        <w:gridCol w:w="1125"/>
        <w:gridCol w:w="6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预算部门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皮山县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  <w:lang w:eastAsia="zh-CN"/>
              </w:rPr>
              <w:t>康克尔柯尔克孜民族乡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中心小学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2023年城乡义务教育补助经费-特殊教育补助和地财教〔2022〕75号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阿卜拉·图尔荪尼亚孜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0.13</w:t>
            </w:r>
          </w:p>
        </w:tc>
        <w:tc>
          <w:tcPr>
            <w:tcW w:w="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保障学校正常运转、完成教育教学活动和其他日常工作任务等方面的支出；改善办学条件，提高群众满意度；严肃财经纪律、强化监督管理，按时划拨资金、确保资金使用合理、高效。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义务教育保障经费人数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324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经费使用合规率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资金支付及时率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义务教育保障经费资金总额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0.13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提升义务教育学生生活质量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改善义务教育学生生活环境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改善义务教育学生生活环境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学生家长满意度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仿宋" w:hAnsi="仿宋" w:eastAsia="仿宋" w:cs="仿宋"/>
                <w:b w:val="0"/>
                <w:kern w:val="0"/>
                <w:position w:val="8"/>
                <w:sz w:val="20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预算部门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皮山县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  <w:lang w:eastAsia="zh-CN"/>
              </w:rPr>
              <w:t>康克尔柯尔克孜民族乡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中心小学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2023年城乡义务教育补助经费-特殊教育补助 和地财教〔2022〕70号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阿卜拉·图尔荪尼亚孜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0.63</w:t>
            </w:r>
          </w:p>
        </w:tc>
        <w:tc>
          <w:tcPr>
            <w:tcW w:w="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保障学校正常运转、完成教育教学活动和其他日常工作任务等方面的支出；改善办学条件，提高群众满意度；严肃财经纪律、强化监督管理，按时划拨资金、确保资金使用合理、高效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享受人数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324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资金拨付率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项目完成时限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资金总额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0.63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学生家庭经济负担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学生体质健康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distribute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45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distribute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学生家长满意度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预算部门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皮山县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  <w:lang w:eastAsia="zh-CN"/>
              </w:rPr>
              <w:t>康克尔柯尔克孜民族乡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中心小学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2023年城乡义务教育补助经费-公用经费 和地财教〔2022〕75号。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阿卜拉·图尔荪尼亚孜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4.39</w:t>
            </w:r>
          </w:p>
        </w:tc>
        <w:tc>
          <w:tcPr>
            <w:tcW w:w="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4.39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保障学校正常运转、完成教育教学活动和其他日常工作任务等方面的支出；改善办学条件，提高群众满意度；严肃财经纪律、强化监督管理，按时划拨资金、确保资金使用合理、高效。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义务教育保障经费人数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324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经费使用合规率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资金支付及时率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义务教育保障经费资金总额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4.39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提升义务教育学生生活质量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改善义务教育学生生活环境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改善义务教育学生生活环境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学生家长满意度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仿宋" w:hAnsi="仿宋" w:eastAsia="仿宋" w:cs="仿宋"/>
                <w:b w:val="0"/>
                <w:kern w:val="0"/>
                <w:position w:val="8"/>
                <w:sz w:val="20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仿宋" w:hAnsi="仿宋" w:eastAsia="仿宋" w:cs="仿宋"/>
                <w:b w:val="0"/>
                <w:kern w:val="0"/>
                <w:position w:val="8"/>
                <w:sz w:val="20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仿宋" w:hAnsi="仿宋" w:eastAsia="仿宋" w:cs="仿宋"/>
                <w:b w:val="0"/>
                <w:kern w:val="0"/>
                <w:position w:val="8"/>
                <w:sz w:val="20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预算部门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皮山县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  <w:lang w:eastAsia="zh-CN"/>
              </w:rPr>
              <w:t>康克尔柯尔克孜民族乡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中心小学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2023年城乡义务教育补助经费-公用经费 和地财教〔2022〕70号。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阿卜拉·图尔荪尼亚孜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20.76</w:t>
            </w:r>
          </w:p>
        </w:tc>
        <w:tc>
          <w:tcPr>
            <w:tcW w:w="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20.76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保障学校正常运转、完成教育教学活动和其他日常工作任务等方面的支出；改善办学条件，提高群众满意度；严肃财经纪律、强化监督管理，按时划拨资金、确保资金使用合理、高效。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享受人数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324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资金拨付率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项目完成时限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资金总额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20.76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学生家庭经济负担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学生体质健康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distribute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45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distribute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学生家长满意度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预算部门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皮山县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  <w:lang w:eastAsia="zh-CN"/>
              </w:rPr>
              <w:t>康克尔柯尔克孜民族乡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中心小学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2023年城乡义务教育补助经费-和地财教〔2022〕70号。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阿卜拉·图尔荪尼亚孜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8.4</w:t>
            </w:r>
          </w:p>
        </w:tc>
        <w:tc>
          <w:tcPr>
            <w:tcW w:w="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8.4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保障学校正常运转、完成教育教学活动和其他日常工作任务等方面的支出；改善办学条件，提高群众满意度；严肃财经纪律、强化监督管理，按时划拨资金、确保资金使用合理、高效。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义务教育保障经费人数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经费使用合规率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资金支付及时率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义务教育保障经费资金总额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8.4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提升义务教育学生生活质量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改善义务教育学生生活环境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改善义务教育学生生活环境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学生家长满意度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仿宋" w:hAnsi="仿宋" w:eastAsia="仿宋" w:cs="仿宋"/>
                <w:b w:val="0"/>
                <w:kern w:val="0"/>
                <w:position w:val="8"/>
                <w:sz w:val="20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green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预算部门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皮山县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  <w:lang w:eastAsia="zh-CN"/>
              </w:rPr>
              <w:t>康克尔柯尔克孜民族乡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中心小学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2023年城乡义务教育补助经费-家庭经济困难学生生活补助 和地财教〔2022〕75号。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阿卜拉·图尔荪尼亚孜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</w:t>
            </w:r>
          </w:p>
        </w:tc>
        <w:tc>
          <w:tcPr>
            <w:tcW w:w="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提高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全校学生的</w:t>
            </w:r>
            <w:r>
              <w:rPr>
                <w:rFonts w:hint="default" w:ascii="仿宋" w:hAnsi="仿宋" w:eastAsia="仿宋" w:cs="仿宋"/>
                <w:position w:val="8"/>
                <w:sz w:val="20"/>
              </w:rPr>
              <w:t>生活质量、提高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全校学生</w:t>
            </w:r>
            <w:r>
              <w:rPr>
                <w:rFonts w:hint="default" w:ascii="仿宋" w:hAnsi="仿宋" w:eastAsia="仿宋" w:cs="仿宋"/>
                <w:position w:val="8"/>
                <w:sz w:val="20"/>
              </w:rPr>
              <w:t>学习积极性、提升学生受教育环境、帮助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解决</w:t>
            </w:r>
            <w:r>
              <w:rPr>
                <w:rFonts w:hint="default" w:ascii="仿宋" w:hAnsi="仿宋" w:eastAsia="仿宋" w:cs="仿宋"/>
                <w:position w:val="8"/>
                <w:sz w:val="20"/>
              </w:rPr>
              <w:t>义务教育阶段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学生的午饭伙食费用问题</w:t>
            </w:r>
            <w:r>
              <w:rPr>
                <w:rFonts w:hint="default" w:ascii="仿宋" w:hAnsi="仿宋" w:eastAsia="仿宋" w:cs="仿宋"/>
                <w:position w:val="8"/>
                <w:sz w:val="20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享受人数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324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资金拨付率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项目完成时限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资金总额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学生家庭经济负担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学生体质健康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distribute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distribute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学生家长满意度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预算部门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皮山县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  <w:lang w:eastAsia="zh-CN"/>
              </w:rPr>
              <w:t>康克尔柯尔克孜民族乡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中心小学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2023年城乡义务教育补助经费-农村学生营养改善补助 和地财教〔2022〕70号。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阿卜拉·图尔荪尼亚孜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27.15</w:t>
            </w:r>
          </w:p>
        </w:tc>
        <w:tc>
          <w:tcPr>
            <w:tcW w:w="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27.15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提高寄宿生生活质量、提高寄宿生学习积极性、提升学生受教育环境、帮助义务教育阶段家庭经济困难寄宿生解决生活困难问题。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义务教育保障经费人数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324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经费使用合规率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资金支付及时率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义务教育保障经费资金总额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27.15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提升义务教育学生生活质量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改善义务教育学生生活环境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改善义务教育学生生活环境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学生家长满意度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</w:tbl>
    <w:p>
      <w:pPr>
        <w:ind w:left="200" w:right="200" w:firstLine="500"/>
        <w:jc w:val="both"/>
        <w:rPr>
          <w:rFonts w:ascii="仿宋" w:hAnsi="仿宋" w:eastAsia="仿宋" w:cs="仿宋"/>
          <w:position w:val="10"/>
          <w:sz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（五）其他需说明的事项</w:t>
      </w:r>
    </w:p>
    <w:p>
      <w:pPr>
        <w:ind w:left="200" w:right="200" w:firstLine="500"/>
        <w:jc w:val="both"/>
      </w:pPr>
      <w:r>
        <w:rPr>
          <w:rFonts w:ascii="仿宋" w:hAnsi="仿宋" w:eastAsia="仿宋" w:cs="仿宋"/>
          <w:position w:val="10"/>
          <w:sz w:val="34"/>
        </w:rPr>
        <w:t>无其他需要说明的事项。</w:t>
      </w:r>
    </w:p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第四部分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一、财政拨款：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二、一般公共预算：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三、财政专户管理资金：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四、其他资金：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五、基本支出：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六、项目支出：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七、“三公”经费：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八、机关运行经费：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各部门（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一、财政拨款：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二、一般公共预算：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三、财政专户管理资金：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四、其他资金：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五、基本支出：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六、项目支出：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七、“三公”经费：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八、机关运行经费：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各部门（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right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皮山县康克尔柯尔克孜民族乡中心小学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right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</w:t>
      </w:r>
      <w:bookmarkStart w:id="0" w:name="_GoBack"/>
      <w:bookmarkEnd w:id="0"/>
      <w:r>
        <w:rPr>
          <w:rFonts w:hint="eastAsia" w:ascii="仿宋" w:hAnsi="仿宋" w:eastAsia="仿宋" w:cs="仿宋"/>
          <w:position w:val="10"/>
          <w:sz w:val="32"/>
          <w:szCs w:val="32"/>
        </w:rPr>
        <w:t>年1月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日</w:t>
      </w:r>
    </w:p>
    <w:sect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C7FF1"/>
    <w:rsid w:val="0CCD2984"/>
    <w:rsid w:val="18015FB3"/>
    <w:rsid w:val="18B00F5A"/>
    <w:rsid w:val="1E90231B"/>
    <w:rsid w:val="220901F3"/>
    <w:rsid w:val="255E64C4"/>
    <w:rsid w:val="288822B5"/>
    <w:rsid w:val="3E432AAE"/>
    <w:rsid w:val="427B1BF0"/>
    <w:rsid w:val="44B204DF"/>
    <w:rsid w:val="54C901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2"/>
    <w:basedOn w:val="1"/>
    <w:next w:val="1"/>
    <w:unhideWhenUsed/>
    <w:qFormat/>
    <w:uiPriority w:val="0"/>
    <w:pPr>
      <w:ind w:left="1277"/>
      <w:outlineLvl w:val="1"/>
    </w:pPr>
    <w:rPr>
      <w:rFonts w:ascii="仿宋_GB2312" w:hAnsi="仿宋_GB2312" w:eastAsia="仿宋_GB2312" w:cs="仿宋_GB2312"/>
      <w:b/>
      <w:bCs/>
      <w:sz w:val="32"/>
      <w:szCs w:val="3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36</Pages>
  <Words>1401</Words>
  <Characters>1520</Characters>
  <TotalTime>0</TotalTime>
  <ScaleCrop>false</ScaleCrop>
  <LinksUpToDate>false</LinksUpToDate>
  <CharactersWithSpaces>1591</CharactersWithSpaces>
  <Application>WPS Office_10.8.2.6837_F1E327BC-269C-435d-A152-05C5408002CA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2023-04-27T04:14:00Z</dcterms:created>
  <dc:creator>Apache POI</dc:creator>
  <cp:lastModifiedBy>Administrator</cp:lastModifiedBy>
  <dcterms:modified xsi:type="dcterms:W3CDTF">2025-07-24T03:05:08Z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eyJoZGlkIjoiZmJiYzM4NGMxNTU2MDViMDQzMzBjNGQ5NThlMWYxNDciLCJ1c2VySWQiOiI5NTc2ODg5MzgifQ==</vt:lpwstr>
  </property>
  <property fmtid="{D5CDD505-2E9C-101B-9397-08002B2CF9AE}" pid="3" name="KSOProductBuildVer">
    <vt:lpwstr>2052-10.8.2.6837</vt:lpwstr>
  </property>
  <property fmtid="{D5CDD505-2E9C-101B-9397-08002B2CF9AE}" pid="4" name="ICV">
    <vt:lpwstr>565D94975BF746F683DD83C0A2C17D67_13</vt:lpwstr>
  </property>
</Properties>
</file>