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br w:type="textWrapping"/>
      </w:r>
      <w:r>
        <w:rPr>
          <w:rFonts w:ascii="黑体" w:hAnsi="黑体" w:eastAsia="黑体" w:cs="黑体"/>
          <w:position w:val="30"/>
          <w:sz w:val="42"/>
        </w:rPr>
        <w:t>皮山县草原工作站</w:t>
      </w:r>
    </w:p>
    <w:p>
      <w:pPr>
        <w:spacing w:before="150"/>
        <w:ind w:left="200" w:right="200"/>
        <w:jc w:val="center"/>
      </w:pPr>
      <w:r>
        <w:rPr>
          <w:rFonts w:ascii="黑体" w:hAnsi="黑体" w:eastAsia="黑体" w:cs="黑体"/>
          <w:position w:val="30"/>
          <w:sz w:val="42"/>
        </w:rPr>
        <w:t>2023年</w:t>
      </w:r>
      <w:r>
        <w:rPr>
          <w:rFonts w:hint="eastAsia" w:ascii="黑体" w:hAnsi="黑体" w:eastAsia="黑体" w:cs="黑体"/>
          <w:position w:val="30"/>
          <w:sz w:val="42"/>
          <w:lang w:val="en-US"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</w:t>
      </w:r>
    </w:p>
    <w:p>
      <w:r>
        <w:br w:type="page"/>
      </w:r>
    </w:p>
    <w:p>
      <w:pPr>
        <w:jc w:val="center"/>
      </w:pPr>
      <w:r>
        <w:rPr>
          <w:rFonts w:ascii="黑体" w:hAnsi="黑体" w:eastAsia="黑体" w:cs="黑体"/>
          <w:position w:val="30"/>
          <w:sz w:val="42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第一部分</w:t>
      </w:r>
      <w:r>
        <w:rPr>
          <w:rFonts w:hint="eastAsia" w:ascii="黑体" w:hAnsi="黑体" w:eastAsia="黑体" w:cs="黑体"/>
          <w:position w:val="15"/>
          <w:sz w:val="32"/>
          <w:szCs w:val="32"/>
          <w:lang w:val="en-US" w:eastAsia="zh-CN"/>
        </w:rPr>
        <w:t>2023年部门</w:t>
      </w:r>
      <w:r>
        <w:rPr>
          <w:rFonts w:ascii="黑体" w:hAnsi="黑体" w:eastAsia="黑体" w:cs="黑体"/>
          <w:position w:val="15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一、主要职能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第二部分2023年</w:t>
      </w:r>
      <w:r>
        <w:rPr>
          <w:rFonts w:hint="eastAsia" w:ascii="黑体" w:hAnsi="黑体" w:eastAsia="黑体" w:cs="黑体"/>
          <w:position w:val="15"/>
          <w:sz w:val="32"/>
          <w:szCs w:val="32"/>
          <w:lang w:val="en-US" w:eastAsia="zh-CN"/>
        </w:rPr>
        <w:t>部门</w:t>
      </w:r>
      <w:r>
        <w:rPr>
          <w:rFonts w:ascii="黑体" w:hAnsi="黑体" w:eastAsia="黑体" w:cs="黑体"/>
          <w:position w:val="15"/>
          <w:sz w:val="32"/>
          <w:szCs w:val="32"/>
        </w:rPr>
        <w:t>预算公开表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收支总体情况表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收入总体情况表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支出总体情况表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四、财政拨款收支预算总体情况表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五、一般公共预算支出情况表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六、一般公共预算基本支出情况表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七、一般公共预算项目支出情况表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八、政府性基金预算支出情况表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九、国有资本经营预算支出情况表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十、财政拨款“三公”经费支出情况表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第三部分2023年皮山县草原工作站预算情况说明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一、关于皮山县草原工作站2023年收支预算情况的总体说明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二、关于皮山县草原工作站2023年收入预算情况说明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三、关于皮山县草原工作站2023年支出预算情况说明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四、关于皮山县草原工作站2023年财政拨款收支预算情况的总体说明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五、关于皮山县草原工作站2023年一般公共预算当年拨款情况说明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六、关于皮山县草原工作站2023年一般公共预算基本支出情况说明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七、关于皮山县草原工作站2023年一般公共预算项目支出情况说明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八、关于皮山县草原工作站2023年政府性基金预算拨款情况说明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九、关于皮山县草原工作站2023年国有资本经营预算拨款情况说明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十、关于皮山县草原工作站2023年财政拨款“三公”经费预算情况说明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8" w:right="198" w:firstLine="499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15"/>
          <w:sz w:val="32"/>
          <w:szCs w:val="32"/>
        </w:rPr>
        <w:t>第四部分名词解释</w:t>
      </w:r>
    </w:p>
    <w:p>
      <w:r>
        <w:br w:type="textWrapping"/>
      </w:r>
    </w:p>
    <w:p>
      <w:pPr>
        <w:rPr>
          <w:rFonts w:ascii="黑体" w:hAnsi="黑体" w:eastAsia="黑体" w:cs="黑体"/>
          <w:position w:val="30"/>
          <w:sz w:val="42"/>
        </w:rPr>
      </w:pPr>
      <w:r>
        <w:rPr>
          <w:rFonts w:ascii="黑体" w:hAnsi="黑体" w:eastAsia="黑体" w:cs="黑体"/>
          <w:position w:val="30"/>
          <w:sz w:val="42"/>
        </w:rPr>
        <w:br w:type="page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第一部分</w:t>
      </w:r>
      <w:r>
        <w:rPr>
          <w:rFonts w:hint="eastAsia" w:ascii="黑体" w:hAnsi="黑体" w:eastAsia="黑体" w:cs="黑体"/>
          <w:position w:val="30"/>
          <w:sz w:val="42"/>
          <w:lang w:val="en-US" w:eastAsia="zh-CN"/>
        </w:rPr>
        <w:t>2023年部门</w:t>
      </w:r>
      <w:r>
        <w:rPr>
          <w:rFonts w:ascii="黑体" w:hAnsi="黑体" w:eastAsia="黑体" w:cs="黑体"/>
          <w:position w:val="30"/>
          <w:sz w:val="4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一、主要职能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outlineLvl w:val="9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为保护与合理利用草原资源提供技术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牧业技术推广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牧业咨询培训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牧业技术开发服务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000000"/>
          <w:sz w:val="32"/>
          <w:szCs w:val="32"/>
        </w:rPr>
        <w:t>牧业咨询调查。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outlineLvl w:val="9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草原资源管理：监测和评估草原资源，包括植被覆盖、土壤状况和生物多样性。制定并实施草原保护和恢复计划，防止退化和沙漠化。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outlineLvl w:val="9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生态保护与恢复：开展草原生态系统的保护和修复工作，如退牧还草、植被恢复等。防治草原病虫害，维护生态平衡。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outlineLvl w:val="9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畜牧业支持：提供科学的放牧管理建议，优化畜牧业生产。推广可持续的放牧方式，减少对草原的过度利用。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/>
        <w:textAlignment w:val="auto"/>
        <w:outlineLvl w:val="9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政策执行与宣传：落实国家和地方的草原保护政策与法规。开展草原保护的宣传教育活动，</w:t>
      </w: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增强</w:t>
      </w:r>
      <w:r>
        <w:rPr>
          <w:rFonts w:hint="eastAsia" w:ascii="仿宋" w:hAnsi="仿宋" w:eastAsia="仿宋"/>
          <w:color w:val="000000"/>
          <w:sz w:val="32"/>
          <w:szCs w:val="32"/>
        </w:rPr>
        <w:t>公众环保意识。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二、机构设置及人员情况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皮山县草原工作站无下属预算单位，下设1个科室</w:t>
      </w:r>
      <w:r>
        <w:rPr>
          <w:rFonts w:hint="eastAsia" w:ascii="仿宋" w:hAnsi="仿宋" w:eastAsia="仿宋" w:cs="仿宋"/>
          <w:position w:val="1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草原站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皮山县草原工作站单位编制数3，实有人数6人，其中：在职4人，增加0人；退休2人，增加0人；离休0人，增加0人。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sz w:val="32"/>
          <w:szCs w:val="32"/>
        </w:rPr>
      </w:pPr>
      <w:r>
        <w:rPr>
          <w:sz w:val="32"/>
          <w:szCs w:val="32"/>
        </w:rPr>
        <w:br w:type="textWrapping"/>
      </w:r>
    </w:p>
    <w:p>
      <w:pPr>
        <w:rPr>
          <w:rFonts w:ascii="黑体" w:hAnsi="黑体" w:eastAsia="黑体" w:cs="黑体"/>
          <w:position w:val="30"/>
          <w:sz w:val="42"/>
        </w:rPr>
      </w:pPr>
      <w:r>
        <w:rPr>
          <w:rFonts w:ascii="黑体" w:hAnsi="黑体" w:eastAsia="黑体" w:cs="黑体"/>
          <w:position w:val="30"/>
          <w:sz w:val="42"/>
        </w:rPr>
        <w:br w:type="page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第二部分2023年</w:t>
      </w:r>
      <w:r>
        <w:rPr>
          <w:rFonts w:hint="eastAsia" w:ascii="黑体" w:hAnsi="黑体" w:eastAsia="黑体" w:cs="黑体"/>
          <w:position w:val="30"/>
          <w:sz w:val="42"/>
          <w:lang w:val="en-US" w:eastAsia="zh-CN"/>
        </w:rPr>
        <w:t>部门</w:t>
      </w:r>
      <w:r>
        <w:rPr>
          <w:rFonts w:ascii="黑体" w:hAnsi="黑体" w:eastAsia="黑体" w:cs="黑体"/>
          <w:position w:val="30"/>
          <w:sz w:val="42"/>
        </w:rPr>
        <w:t>预算公开表</w:t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2100"/>
        <w:gridCol w:w="2100"/>
        <w:gridCol w:w="2100"/>
        <w:gridCol w:w="21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84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val="en-US"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收支总体情况表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：皮山县草原工作站</w:t>
            </w:r>
          </w:p>
        </w:tc>
        <w:tc>
          <w:tcPr>
            <w:tcW w:w="4200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收入</w:t>
            </w:r>
          </w:p>
        </w:tc>
        <w:tc>
          <w:tcPr>
            <w:tcW w:w="4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预算数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一、本年收入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1.一般公共预算拨款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其中：一般财力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上级一般公共预算安排转移支付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2.基金预算拨款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其中：政府性基金收入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上级政府性基金安排转移支付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3.国有资本经营预算拨款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其中：国有资本经营收入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上级国有资本经营预算安排转移支付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4.财政专户核拨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5.单位资金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其中：事业收入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上级补助收入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附属单位上缴收入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事业单位经营收入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其他收入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二、上年结转结余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1.财政拨款结转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其中：一般公共预算拨款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基金预算拨款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国有资本经营预算拨款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2.非财政拨款结转结余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其中：财政专户核拨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单位资金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</w:tblPrEx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21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</w:tr>
    </w:tbl>
    <w:p>
      <w:r>
        <w:br w:type="textWrapping"/>
      </w:r>
    </w:p>
    <w:p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表2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val="en-US"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收入总体情况表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：皮山县草原工作站</w:t>
            </w:r>
          </w:p>
        </w:tc>
        <w:tc>
          <w:tcPr>
            <w:tcW w:w="4200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功能分类编码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总计</w:t>
            </w:r>
          </w:p>
        </w:tc>
        <w:tc>
          <w:tcPr>
            <w:tcW w:w="105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财政专户（教育收费）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单位资金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财政拨款结转</w:t>
            </w:r>
          </w:p>
        </w:tc>
        <w:tc>
          <w:tcPr>
            <w:tcW w:w="105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非财政拨款结转结余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财政拨款（补助）小计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上级一般公共预算安排的转移支付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上级政府性基金安排的转移支付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上级国有资本经营预算安排的转移支付</w:t>
            </w:r>
          </w:p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4.06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林业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事业机构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表3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hint="eastAsia" w:ascii="黑体" w:hAnsi="黑体" w:eastAsia="黑体" w:cs="黑体"/>
                <w:position w:val="15"/>
                <w:sz w:val="28"/>
                <w:lang w:val="en-US" w:eastAsia="zh-CN"/>
              </w:rPr>
              <w:t>部门</w:t>
            </w:r>
            <w:r>
              <w:rPr>
                <w:rFonts w:ascii="黑体" w:hAnsi="黑体" w:eastAsia="黑体" w:cs="黑体"/>
                <w:position w:val="15"/>
                <w:sz w:val="28"/>
              </w:rPr>
              <w:t>支出总体情况表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：皮山县草原工作站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支出预算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8.13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4.06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林业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事业机构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1200"/>
        <w:gridCol w:w="1200"/>
        <w:gridCol w:w="600"/>
        <w:gridCol w:w="600"/>
        <w:gridCol w:w="1200"/>
        <w:gridCol w:w="120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表4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财政拨款收支预算总体情况表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：皮山县草原工作站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财政拨款收入</w:t>
            </w:r>
          </w:p>
        </w:tc>
        <w:tc>
          <w:tcPr>
            <w:tcW w:w="4200" w:type="dxa"/>
            <w:gridSpan w:val="4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财政拨款支出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一、财政拨款（补助）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201一般公共服务支出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一般公共预算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202外交支出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政府性基金预算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203国防支出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国有资本经营预算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204公共安全支出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205教育支出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206科学技术支出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207文化旅游体育与传媒支出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209社会保险基金支出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210卫生健康支出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211节能环保支出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212城乡社区支出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214交通运输支出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215资源勘探工业信息等支出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216商业服务业等支出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217金融支出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219援助其他地区支出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220自然资源海洋气象等支出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221住房保障支出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222粮油物资储备支出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223国有资本经营预算支出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224灾害防治及应急管理支出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227预备费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229其他支出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230转移性支出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　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231债务还本支出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232债务付息支出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233债务发行费用支出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234抗疫特别国债安排的支出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收入总计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支出总计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表5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：皮山县草原工作站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社会保障和就业支出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行政事业单位养老支出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12.19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8.13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208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机关事业单位职业年金缴费支出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4.06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4.06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农林水支出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林业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213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事业机构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75.85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400"/>
        <w:gridCol w:w="280"/>
        <w:gridCol w:w="1120"/>
        <w:gridCol w:w="560"/>
        <w:gridCol w:w="840"/>
        <w:gridCol w:w="840"/>
        <w:gridCol w:w="560"/>
        <w:gridCol w:w="1120"/>
        <w:gridCol w:w="280"/>
        <w:gridCol w:w="14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一般公共预算基本支出情况表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：皮山县草原工作站</w:t>
            </w:r>
          </w:p>
        </w:tc>
        <w:tc>
          <w:tcPr>
            <w:tcW w:w="4200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5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一般公共预算基本支出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经济分类科目名称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人员经费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公用经费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gridSpan w:val="2"/>
            <w:vMerge w:val="continue"/>
          </w:tcPr>
          <w:p/>
        </w:tc>
        <w:tc>
          <w:tcPr>
            <w:tcW w:w="14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工资福利支出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81.64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81.64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基本工资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20.71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20.71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津贴补贴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16.31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16.31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奖金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5.94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5.94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绩效工资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13.34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13.34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机关事业单位基本养老保险缴费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8.13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8.13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职业年金缴费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4.06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城镇职工基本医疗保险缴费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公务员医疗补助缴费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3.35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3.35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其他社会保障缴费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0.41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0.41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13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住房公积金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6.09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6.09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商品和服务支出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4.03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0.43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办公费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1.6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1.6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08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取暖费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0.43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0.43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31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公务用车运行维护费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2.00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2.00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对个人和家庭的补助支出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2.37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2.37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303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02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退休费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2.37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2.37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88.04</w:t>
            </w:r>
          </w:p>
        </w:tc>
        <w:tc>
          <w:tcPr>
            <w:tcW w:w="14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84.44</w:t>
            </w:r>
          </w:p>
        </w:tc>
        <w:tc>
          <w:tcPr>
            <w:tcW w:w="14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3.6</w:t>
            </w:r>
          </w:p>
        </w:tc>
      </w:tr>
    </w:tbl>
    <w:p>
      <w:r>
        <w:br w:type="textWrapping"/>
      </w:r>
    </w:p>
    <w:p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  <w:gridCol w:w="525"/>
        <w:gridCol w:w="75"/>
        <w:gridCol w:w="450"/>
        <w:gridCol w:w="150"/>
        <w:gridCol w:w="375"/>
        <w:gridCol w:w="225"/>
        <w:gridCol w:w="300"/>
        <w:gridCol w:w="300"/>
        <w:gridCol w:w="225"/>
        <w:gridCol w:w="375"/>
        <w:gridCol w:w="150"/>
        <w:gridCol w:w="450"/>
        <w:gridCol w:w="75"/>
        <w:gridCol w:w="525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表7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一般公共预算项目支出情况表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：皮山县草原工作站</w:t>
            </w:r>
          </w:p>
        </w:tc>
        <w:tc>
          <w:tcPr>
            <w:tcW w:w="4200" w:type="dxa"/>
            <w:gridSpan w:val="1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6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科目编码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科目名称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项目名称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项目支出合计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工资福利支出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商品和服务支出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对个人和家庭的补助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债务利息及费用支出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资本性支出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对企业补助（基本建设）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对企业补助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对社会保障基金补助</w:t>
            </w:r>
          </w:p>
        </w:tc>
        <w:tc>
          <w:tcPr>
            <w:tcW w:w="6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其他支出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gridSpan w:val="2"/>
            <w:vMerge w:val="continue"/>
          </w:tcPr>
          <w:p/>
        </w:tc>
        <w:tc>
          <w:tcPr>
            <w:tcW w:w="525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525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  <w:tc>
          <w:tcPr>
            <w:tcW w:w="525" w:type="dxa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  <w:gridSpan w:val="2"/>
          </w:tcPr>
          <w:p/>
        </w:tc>
        <w:tc>
          <w:tcPr>
            <w:tcW w:w="525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28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皮山县草原工作站2023年没有公共预算项目安排的支出，一般公共预算项目支出情况表为空表。</w:t>
            </w:r>
          </w:p>
        </w:tc>
      </w:tr>
    </w:tbl>
    <w:p>
      <w:r>
        <w:br w:type="textWrapping"/>
      </w:r>
    </w:p>
    <w:p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表8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政府性基金预算支出情况表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：皮山县草原工作站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皮山县草原工作站2023年没有使用政府性基金预算拨款安排的支出，政府性基金预算支出情况表为空表。</w:t>
            </w:r>
          </w:p>
        </w:tc>
      </w:tr>
    </w:tbl>
    <w:p>
      <w:r>
        <w:br w:type="textWrapping"/>
      </w:r>
    </w:p>
    <w:p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200"/>
        <w:gridCol w:w="480"/>
        <w:gridCol w:w="720"/>
        <w:gridCol w:w="960"/>
        <w:gridCol w:w="240"/>
        <w:gridCol w:w="600"/>
        <w:gridCol w:w="600"/>
        <w:gridCol w:w="240"/>
        <w:gridCol w:w="960"/>
        <w:gridCol w:w="720"/>
        <w:gridCol w:w="480"/>
        <w:gridCol w:w="12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表9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国有资本经营预算支出情况表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：皮山县草原工作站</w:t>
            </w:r>
          </w:p>
        </w:tc>
        <w:tc>
          <w:tcPr>
            <w:tcW w:w="4200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</w:t>
            </w:r>
          </w:p>
        </w:tc>
        <w:tc>
          <w:tcPr>
            <w:tcW w:w="4200" w:type="dxa"/>
            <w:gridSpan w:val="6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功能分类科目编码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功能分类科目名称</w:t>
            </w:r>
          </w:p>
        </w:tc>
        <w:tc>
          <w:tcPr>
            <w:tcW w:w="168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基本支出</w:t>
            </w:r>
          </w:p>
        </w:tc>
        <w:tc>
          <w:tcPr>
            <w:tcW w:w="168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项目支出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类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款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项</w:t>
            </w:r>
          </w:p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gridSpan w:val="2"/>
            <w:vMerge w:val="continue"/>
          </w:tcPr>
          <w:p/>
        </w:tc>
        <w:tc>
          <w:tcPr>
            <w:tcW w:w="1200" w:type="dxa"/>
            <w:vMerge w:val="continue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</w:p>
        </w:tc>
        <w:tc>
          <w:tcPr>
            <w:tcW w:w="12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20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200" w:type="dxa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  <w:gridSpan w:val="2"/>
          </w:tcPr>
          <w:p/>
        </w:tc>
        <w:tc>
          <w:tcPr>
            <w:tcW w:w="1200" w:type="dxa"/>
          </w:tcPr>
          <w:p/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1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皮山县草原工作站2023年没有安排国有资本经营预算的支出，国有资本经营预算支出情况表为空表。</w:t>
            </w:r>
          </w:p>
        </w:tc>
      </w:tr>
    </w:tbl>
    <w:p>
      <w:r>
        <w:br w:type="textWrapping"/>
      </w:r>
    </w:p>
    <w:p>
      <w:pPr>
        <w:ind w:left="150"/>
        <w:jc w:val="left"/>
        <w:rPr>
          <w:rFonts w:ascii="仿宋" w:hAnsi="仿宋" w:eastAsia="仿宋" w:cs="仿宋"/>
          <w:position w:val="8"/>
          <w:sz w:val="20"/>
        </w:rPr>
      </w:pPr>
      <w:r>
        <w:rPr>
          <w:rFonts w:ascii="仿宋" w:hAnsi="仿宋" w:eastAsia="仿宋" w:cs="仿宋"/>
          <w:position w:val="8"/>
          <w:sz w:val="20"/>
        </w:rPr>
        <w:br w:type="page"/>
      </w:r>
    </w:p>
    <w:tbl>
      <w:tblPr>
        <w:tblStyle w:val="3"/>
        <w:tblW w:w="8400" w:type="dxa"/>
        <w:tblInd w:w="5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20" w:type="dxa"/>
          <w:left w:w="0" w:type="dxa"/>
          <w:bottom w:w="0" w:type="dxa"/>
          <w:right w:w="0" w:type="dxa"/>
        </w:tblCellMar>
      </w:tblPr>
      <w:tblGrid>
        <w:gridCol w:w="1680"/>
        <w:gridCol w:w="1120"/>
        <w:gridCol w:w="560"/>
        <w:gridCol w:w="840"/>
        <w:gridCol w:w="840"/>
        <w:gridCol w:w="560"/>
        <w:gridCol w:w="1120"/>
        <w:gridCol w:w="168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表10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84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ind w:left="150"/>
              <w:jc w:val="center"/>
            </w:pPr>
            <w:r>
              <w:rPr>
                <w:rFonts w:ascii="黑体" w:hAnsi="黑体" w:eastAsia="黑体" w:cs="黑体"/>
                <w:position w:val="15"/>
                <w:sz w:val="28"/>
              </w:rPr>
              <w:t>财政拨款“三公”经费支出情况表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left"/>
            </w:pPr>
            <w:r>
              <w:rPr>
                <w:rFonts w:hint="eastAsia" w:ascii="仿宋" w:hAnsi="仿宋" w:eastAsia="仿宋" w:cs="仿宋"/>
                <w:position w:val="8"/>
                <w:sz w:val="20"/>
                <w:lang w:eastAsia="zh-CN"/>
              </w:rPr>
              <w:t>编制部门</w:t>
            </w:r>
            <w:r>
              <w:rPr>
                <w:rFonts w:ascii="仿宋" w:hAnsi="仿宋" w:eastAsia="仿宋" w:cs="仿宋"/>
                <w:position w:val="8"/>
                <w:sz w:val="20"/>
              </w:rPr>
              <w:t>：皮山县草原工作站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ind w:left="150"/>
              <w:jc w:val="righ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单位:万元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2800" w:type="dxa"/>
            <w:gridSpan w:val="2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三公支出内容</w:t>
            </w:r>
          </w:p>
        </w:tc>
        <w:tc>
          <w:tcPr>
            <w:tcW w:w="2800" w:type="dxa"/>
            <w:gridSpan w:val="4"/>
            <w:vMerge w:val="restart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合计</w:t>
            </w:r>
          </w:p>
        </w:tc>
        <w:tc>
          <w:tcPr>
            <w:tcW w:w="280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资金来源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vMerge w:val="continue"/>
          </w:tcPr>
          <w:p/>
        </w:tc>
        <w:tc>
          <w:tcPr>
            <w:tcW w:w="1680" w:type="dxa"/>
            <w:gridSpan w:val="2"/>
            <w:vMerge w:val="continue"/>
          </w:tcPr>
          <w:p/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一般公共预算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政府性基金</w:t>
            </w: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center"/>
            </w:pPr>
            <w:r>
              <w:rPr>
                <w:rFonts w:ascii="黑体" w:hAnsi="黑体" w:eastAsia="黑体" w:cs="黑体"/>
                <w:position w:val="10"/>
                <w:sz w:val="20"/>
              </w:rPr>
              <w:t>国有资本经营预算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合计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因公出国(境)费用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公务接待费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公务用车购置及运行费（小计）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其中：公务用车购置费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  <w:rPr>
                <w:rFonts w:hint="eastAsia" w:eastAsiaTheme="minorEastAsia"/>
                <w:lang w:eastAsia="zh-C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Layout w:type="fixed"/>
          <w:tblCellMar>
            <w:top w:w="20" w:type="dxa"/>
            <w:left w:w="0" w:type="dxa"/>
            <w:bottom w:w="0" w:type="dxa"/>
            <w:right w:w="0" w:type="dxa"/>
          </w:tblCellMar>
        </w:tblPrEx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left"/>
            </w:pPr>
            <w:r>
              <w:rPr>
                <w:rFonts w:ascii="仿宋" w:hAnsi="仿宋" w:eastAsia="仿宋" w:cs="仿宋"/>
                <w:position w:val="8"/>
                <w:sz w:val="20"/>
              </w:rPr>
              <w:t>公务用车运行费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  <w:r>
              <w:rPr>
                <w:rFonts w:ascii="黑体" w:hAnsi="黑体" w:eastAsia="黑体" w:cs="黑体"/>
                <w:position w:val="8"/>
                <w:sz w:val="16"/>
              </w:rPr>
              <w:t>2.00</w:t>
            </w:r>
          </w:p>
        </w:tc>
        <w:tc>
          <w:tcPr>
            <w:tcW w:w="1680" w:type="dxa"/>
            <w:gridSpan w:val="2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  <w:tc>
          <w:tcPr>
            <w:tcW w:w="1680" w:type="dxa"/>
            <w:tcBorders>
              <w:top w:val="single" w:color="auto" w:sz="0" w:space="0"/>
              <w:left w:val="single" w:color="auto" w:sz="0" w:space="0"/>
              <w:bottom w:val="single" w:color="auto" w:sz="0" w:space="0"/>
              <w:right w:val="single" w:color="auto" w:sz="0" w:space="0"/>
            </w:tcBorders>
            <w:vAlign w:val="center"/>
          </w:tcPr>
          <w:p>
            <w:pPr>
              <w:ind w:left="30"/>
              <w:jc w:val="right"/>
            </w:pPr>
          </w:p>
        </w:tc>
      </w:tr>
    </w:tbl>
    <w:p>
      <w:r>
        <w:br w:type="textWrapping"/>
      </w:r>
    </w:p>
    <w:p>
      <w:pPr>
        <w:rPr>
          <w:rFonts w:ascii="黑体" w:hAnsi="黑体" w:eastAsia="黑体" w:cs="黑体"/>
          <w:position w:val="30"/>
          <w:sz w:val="42"/>
        </w:rPr>
      </w:pPr>
      <w:r>
        <w:rPr>
          <w:rFonts w:ascii="黑体" w:hAnsi="黑体" w:eastAsia="黑体" w:cs="黑体"/>
          <w:position w:val="30"/>
          <w:sz w:val="42"/>
        </w:rPr>
        <w:br w:type="page"/>
      </w:r>
    </w:p>
    <w:p>
      <w:pPr>
        <w:ind w:left="200" w:right="200" w:firstLine="500"/>
        <w:jc w:val="center"/>
      </w:pPr>
      <w:r>
        <w:rPr>
          <w:rFonts w:ascii="黑体" w:hAnsi="黑体" w:eastAsia="黑体" w:cs="黑体"/>
          <w:position w:val="30"/>
          <w:sz w:val="42"/>
        </w:rPr>
        <w:t>第三部分2023年皮山县草原工作站预算情况说明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一、关于皮山县草原工作站2023年收支预算情况的总体说明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按照全口径预算的原则，皮山县草原工作站2023年所有收入和支出均纳入单位预算管理。收支总预算88.04万元。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支出预算包括：农林水支出、社会保障和就业支出。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二、关于皮山县草原工作站2023年收入预算情况说明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皮山县草原工作站收入预算88.04万元，其中：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一般公共预算88.04万元，占100.00%，比上年预算增加5.08万元，增长6.12%，主要原因是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本年度</w:t>
      </w:r>
      <w:r>
        <w:rPr>
          <w:rFonts w:ascii="仿宋" w:hAnsi="仿宋" w:eastAsia="仿宋" w:cs="仿宋"/>
          <w:position w:val="10"/>
          <w:sz w:val="32"/>
          <w:szCs w:val="32"/>
        </w:rPr>
        <w:t>人员经费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基数调增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上级一般公共预算安排的转移支付资金未安排。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政府性基金预算未安排。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上级政府性基金安排的转移支付资金未安排。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国有资本经营预算未安排。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上级国有资本经营预算安排的转移支付资金未安排。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三、关于皮山县草原工作站2023年支出预算情况说明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皮山县草原工作站2023年支出预算88.04万元，其中：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基本支出88.04万元，占100.00%，比上年预算增加5.08万元，增长6.12%，主要原因是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本年度</w:t>
      </w:r>
      <w:r>
        <w:rPr>
          <w:rFonts w:ascii="仿宋" w:hAnsi="仿宋" w:eastAsia="仿宋" w:cs="仿宋"/>
          <w:position w:val="10"/>
          <w:sz w:val="32"/>
          <w:szCs w:val="32"/>
        </w:rPr>
        <w:t>人员经费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基数调增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项目支出0万元，占0.00%，比上年预算增加0万元，增长0%，主要原因是无。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四、关于皮山县草原工作站2023年财政拨款收支预算情况的总体说明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2023年财政拨款收支总预算88.04万元。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收入全部为一般公共预算拨款，无政府性基金预算拨款和国有资本经营预算。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收入预算包括：一般公共预算拨款88.04万元。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一般公共预算支出包括：社会保障和就业支出12.19万元，主要用于缴纳养老保险。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农林水支出75.85万元，主要用于人员经费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支出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五、关于皮山县草原工作站2023年一般公共预算当年拨款情况说明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皮山县草原工作站2023年一般公共预算拨款合计88.04万元，其中：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基本支出88.04万元，比上年预算增加88.04万元，增长100.00%。主要原因是：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本年度</w:t>
      </w:r>
      <w:r>
        <w:rPr>
          <w:rFonts w:ascii="仿宋" w:hAnsi="仿宋" w:eastAsia="仿宋" w:cs="仿宋"/>
          <w:position w:val="10"/>
          <w:sz w:val="32"/>
          <w:szCs w:val="32"/>
        </w:rPr>
        <w:t>人员经费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基数调增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项目支出0万元，比上年预算增加0万元，增长0%。主要原因是：无。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（二）一般公共预算当年拨款结构情况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1.社会保障和就业支出（类）12.19万元，占13.85%。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2.农林水支出（类）75.85万元，占86.15%。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（三）一般公共预算当年拨款具体使用情况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1.社会保障和就业支出（类）行政事业单位养老支出（款）机关事业单位基本养老保险缴费支出（项）:2023年预算数为8.13万元，比上年预算数增加0.15万元，增长1.88%，主要原因是：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本年度人员</w:t>
      </w:r>
      <w:r>
        <w:rPr>
          <w:rFonts w:ascii="仿宋" w:hAnsi="仿宋" w:eastAsia="仿宋" w:cs="仿宋"/>
          <w:position w:val="10"/>
          <w:sz w:val="32"/>
          <w:szCs w:val="32"/>
        </w:rPr>
        <w:t>工资基数增加，养老保险缴纳基数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调增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2.社会保障和就业支出（类）行政事业单位养老支出（款）机关事业单位职业年金缴费支出（项）:2023年预算数为4.06万元，比上年预算数增加0.07万元，增长1.75%，主要原因是：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本年度</w:t>
      </w:r>
      <w:r>
        <w:rPr>
          <w:rFonts w:ascii="仿宋" w:hAnsi="仿宋" w:eastAsia="仿宋" w:cs="仿宋"/>
          <w:position w:val="10"/>
          <w:sz w:val="32"/>
          <w:szCs w:val="32"/>
        </w:rPr>
        <w:t>人员工资基数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调增</w:t>
      </w:r>
      <w:r>
        <w:rPr>
          <w:rFonts w:ascii="仿宋" w:hAnsi="仿宋" w:eastAsia="仿宋" w:cs="仿宋"/>
          <w:position w:val="10"/>
          <w:sz w:val="32"/>
          <w:szCs w:val="32"/>
        </w:rPr>
        <w:t>，职业年金缴纳基数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调增</w:t>
      </w:r>
      <w:r>
        <w:rPr>
          <w:rFonts w:ascii="仿宋" w:hAnsi="仿宋" w:eastAsia="仿宋" w:cs="仿宋"/>
          <w:position w:val="1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3.农林水支出（类）林业（款）事业机构（项）:2023年预算数为75.85万元，比上年预算数增加4.86万元，增长6.85%，主要原因是：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本年度</w:t>
      </w:r>
      <w:r>
        <w:rPr>
          <w:rFonts w:ascii="仿宋" w:hAnsi="仿宋" w:eastAsia="仿宋" w:cs="仿宋"/>
          <w:position w:val="10"/>
          <w:sz w:val="32"/>
          <w:szCs w:val="32"/>
        </w:rPr>
        <w:t>人员基础性绩效奖提高。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六、关于皮山县草原工作站2023年一般公共预算基本支出情况说明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皮山县草原工作站2023年一般公共预算基本支出88.04万元，其中：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人员经费84.44万元，主要包括：基本工资、津贴补贴、奖金、绩效工资、机关事业单位基本养老保险缴费、职业年金缴费、城镇职工基本医疗保险缴费、公务员医疗补助缴费、其他社会保障缴费、住房公积金、取暖费、退休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公用经费3.6万元，主要包括：办公费、公务用车运行维护费。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七、关于皮山县草原工作站2023年一般公共预算项目支出情况说明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皮山县草原工作站2023年没有使用一般公共预算项目支出，一般公共预算项目支出情况表为空表。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八、关于皮山县草原工作站2023年政府性基金预算拨款情况说明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皮山县草原工作站2023年没有使用政府性基金预算拨款安排的支出，政府性基金预算支出情况表为空表。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九、关于皮山县草原工作站2023年国有资本经营预算拨款情况说明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皮山县草原工作站2023年没有使用国有资本经营预算拨款安排的支出，国有资本经营预算支出情况表为空表。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十、关于皮山县草原工作站2023年财政拨款“三公”经费预算情况说明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皮山县草原工作站2023年财政拨款“三公”经费数为2万元，其中：因公出国（境）费0万元，公务用车购置费0万元，公务用车运行费2万元，公务接待费0万元。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2023年财政拨款“三公”经费比上年预算增加0万元，增长0%，其中：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因公出国（境）费增加0万元，增长0%，主要原因是无。公务用车购置费增加0万元，增长0%，主要原因是无。公务用车运行费增加0万元，增长0%，主要原因是汽车数量没变。公务接待费增加0万元，增长0%，主要原因是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黑体" w:hAnsi="黑体" w:eastAsia="黑体" w:cs="黑体"/>
          <w:position w:val="20"/>
          <w:sz w:val="32"/>
          <w:szCs w:val="32"/>
        </w:rPr>
        <w:t>十一、其他重要事项的情况说明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（一）机关运行经费情况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2023年，皮山县草原工作站本级及下属0家行政单位和0家事业单位的机关运行经费财政拨款预算3.6万元，比上年预算增加0万元，增长0%。主要原因是人员数量没变，按标准做预算。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2023年，皮山县草原工作站政府采购预算0万元，其中：政府采购货物预算0万元，政府采购工程预算0万元，政府采购服务预算0万元。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2023年度本单位面向中小企业预留政府采购项目预算金额0万元，其中：面向小微企业预留政府采购项目预算金额0万元。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截至2022年底，皮山县草原工作站及下属各预算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占用使用国有资产总体情况为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1.房屋0平方米，价值0万元。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2.车辆0辆，价值0.00万元；其中：一般公务用车0辆，价值0万元；执法执勤用车0辆，价值0万元；其他车辆0辆，价值0万元。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3.办公家具价值0万元。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4.其他资产价值0万元。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部门</w:t>
      </w:r>
      <w:r>
        <w:rPr>
          <w:rFonts w:ascii="仿宋" w:hAnsi="仿宋" w:eastAsia="仿宋" w:cs="仿宋"/>
          <w:position w:val="10"/>
          <w:sz w:val="32"/>
          <w:szCs w:val="32"/>
        </w:rPr>
        <w:t>价值50万元以上大型设备0台，单位价值100万元以上大型设备0台。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2023年单位预算安排购置车辆经费0万元，安排购置50万元以上大型设备0台，单位价值100万元以上大型设备0台。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2023年，本年度预算绩效管理的财政拨款项目0个，涉及预算金额0万元；非财政拨款项目0个，涉及预算金额0万元。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0" w:line="560" w:lineRule="exact"/>
        <w:ind w:left="200" w:right="200" w:firstLine="5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position w:val="20"/>
          <w:sz w:val="32"/>
          <w:szCs w:val="32"/>
        </w:rPr>
        <w:t>（五）其他需说明的事项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无其他需要说明的事项。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position w:val="30"/>
          <w:sz w:val="32"/>
          <w:szCs w:val="32"/>
        </w:rPr>
      </w:pPr>
      <w:r>
        <w:rPr>
          <w:sz w:val="32"/>
          <w:szCs w:val="32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200" w:right="200" w:firstLine="500"/>
        <w:jc w:val="center"/>
        <w:textAlignment w:val="auto"/>
        <w:outlineLvl w:val="9"/>
        <w:rPr>
          <w:sz w:val="40"/>
          <w:szCs w:val="40"/>
        </w:rPr>
      </w:pPr>
      <w:r>
        <w:rPr>
          <w:rFonts w:ascii="黑体" w:hAnsi="黑体" w:eastAsia="黑体" w:cs="黑体"/>
          <w:position w:val="30"/>
          <w:sz w:val="40"/>
          <w:szCs w:val="40"/>
        </w:rPr>
        <w:t>第四部分名词解释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一、财政拨款：</w:t>
      </w:r>
      <w:r>
        <w:rPr>
          <w:rFonts w:ascii="仿宋" w:hAnsi="仿宋" w:eastAsia="仿宋" w:cs="仿宋"/>
          <w:position w:val="1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二、一般公共预算：</w:t>
      </w:r>
      <w:r>
        <w:rPr>
          <w:rFonts w:ascii="仿宋" w:hAnsi="仿宋" w:eastAsia="仿宋" w:cs="仿宋"/>
          <w:position w:val="1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三、财政专户管理资金：</w:t>
      </w:r>
      <w:r>
        <w:rPr>
          <w:rFonts w:ascii="仿宋" w:hAnsi="仿宋" w:eastAsia="仿宋" w:cs="仿宋"/>
          <w:position w:val="1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四、其他资金：</w:t>
      </w:r>
      <w:r>
        <w:rPr>
          <w:rFonts w:ascii="仿宋" w:hAnsi="仿宋" w:eastAsia="仿宋" w:cs="仿宋"/>
          <w:position w:val="1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五、基本支出：</w:t>
      </w:r>
      <w:r>
        <w:rPr>
          <w:rFonts w:ascii="仿宋" w:hAnsi="仿宋" w:eastAsia="仿宋" w:cs="仿宋"/>
          <w:position w:val="1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六、项目支出：</w:t>
      </w:r>
      <w:r>
        <w:rPr>
          <w:rFonts w:ascii="仿宋" w:hAnsi="仿宋" w:eastAsia="仿宋" w:cs="仿宋"/>
          <w:position w:val="1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七、“三公”经费：</w:t>
      </w:r>
      <w:r>
        <w:rPr>
          <w:rFonts w:ascii="仿宋" w:hAnsi="仿宋" w:eastAsia="仿宋" w:cs="仿宋"/>
          <w:position w:val="1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both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b/>
          <w:bCs/>
          <w:position w:val="10"/>
          <w:sz w:val="32"/>
          <w:szCs w:val="32"/>
        </w:rPr>
        <w:t>八、机关运行经费：</w:t>
      </w:r>
      <w:r>
        <w:rPr>
          <w:rFonts w:ascii="仿宋" w:hAnsi="仿宋" w:eastAsia="仿宋" w:cs="仿宋"/>
          <w:position w:val="10"/>
          <w:sz w:val="32"/>
          <w:szCs w:val="32"/>
        </w:rPr>
        <w:t>指各部门（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250" w:line="560" w:lineRule="exact"/>
        <w:ind w:left="200" w:right="200" w:firstLine="500"/>
        <w:jc w:val="right"/>
        <w:textAlignment w:val="auto"/>
        <w:outlineLvl w:val="9"/>
        <w:rPr>
          <w:sz w:val="32"/>
          <w:szCs w:val="32"/>
        </w:rPr>
      </w:pPr>
      <w:r>
        <w:rPr>
          <w:rFonts w:ascii="仿宋" w:hAnsi="仿宋" w:eastAsia="仿宋" w:cs="仿宋"/>
          <w:position w:val="10"/>
          <w:sz w:val="32"/>
          <w:szCs w:val="32"/>
        </w:rPr>
        <w:t>皮山县草原工作站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00" w:right="200" w:firstLine="500"/>
        <w:jc w:val="right"/>
        <w:textAlignment w:val="auto"/>
        <w:outlineLvl w:val="9"/>
        <w:rPr>
          <w:sz w:val="32"/>
          <w:szCs w:val="32"/>
        </w:rPr>
      </w:pPr>
      <w:bookmarkStart w:id="0" w:name="_GoBack"/>
      <w:bookmarkEnd w:id="0"/>
      <w:r>
        <w:rPr>
          <w:rFonts w:ascii="仿宋" w:hAnsi="仿宋" w:eastAsia="仿宋" w:cs="仿宋"/>
          <w:position w:val="10"/>
          <w:sz w:val="32"/>
          <w:szCs w:val="32"/>
        </w:rPr>
        <w:t>2023年1月</w:t>
      </w:r>
      <w:r>
        <w:rPr>
          <w:rFonts w:hint="eastAsia" w:ascii="仿宋" w:hAnsi="仿宋" w:eastAsia="仿宋" w:cs="仿宋"/>
          <w:position w:val="10"/>
          <w:sz w:val="32"/>
          <w:szCs w:val="32"/>
          <w:lang w:val="en-US" w:eastAsia="zh-CN"/>
        </w:rPr>
        <w:t>18</w:t>
      </w:r>
      <w:r>
        <w:rPr>
          <w:rFonts w:ascii="仿宋" w:hAnsi="仿宋" w:eastAsia="仿宋" w:cs="仿宋"/>
          <w:position w:val="10"/>
          <w:sz w:val="32"/>
          <w:szCs w:val="32"/>
        </w:rPr>
        <w:t>日</w:t>
      </w:r>
    </w:p>
    <w:sect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30524"/>
    <w:rsid w:val="18D52836"/>
    <w:rsid w:val="1C441CD4"/>
    <w:rsid w:val="290864B4"/>
    <w:rsid w:val="2EF2407F"/>
    <w:rsid w:val="322255BB"/>
    <w:rsid w:val="369403D0"/>
    <w:rsid w:val="3D550A28"/>
    <w:rsid w:val="3EED5BF9"/>
    <w:rsid w:val="3FD95059"/>
    <w:rsid w:val="53C22E21"/>
    <w:rsid w:val="546B5D6C"/>
    <w:rsid w:val="5DB87F3D"/>
    <w:rsid w:val="6E63535D"/>
    <w:rsid w:val="7E0812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25</Pages>
  <Words>2726</Words>
  <Characters>3407</Characters>
  <TotalTime>3</TotalTime>
  <ScaleCrop>false</ScaleCrop>
  <LinksUpToDate>false</LinksUpToDate>
  <CharactersWithSpaces>3836</CharactersWithSpaces>
  <Application>WPS Office_10.8.2.6837_F1E327BC-269C-435d-A152-05C5408002CA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2023-04-28T10:40:00Z</dcterms:created>
  <dc:creator>Apache POI</dc:creator>
  <cp:lastModifiedBy>Administrator</cp:lastModifiedBy>
  <dcterms:modified xsi:type="dcterms:W3CDTF">2025-07-23T08:00:54Z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KSOTemplateDocerSaveRecord">
    <vt:lpwstr>eyJoZGlkIjoiZmJiYzM4NGMxNTU2MDViMDQzMzBjNGQ5NThlMWYxNDciLCJ1c2VySWQiOiI5NTc2ODg5MzgifQ==</vt:lpwstr>
  </property>
  <property fmtid="{D5CDD505-2E9C-101B-9397-08002B2CF9AE}" pid="4" name="ICV">
    <vt:lpwstr>FCF329D049014E4FA70996571B9E8AE9_12</vt:lpwstr>
  </property>
</Properties>
</file>