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200" w:right="200"/>
        <w:jc w:val="center"/>
      </w:pP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t>皮山县国有林场服务中心</w:t>
      </w:r>
    </w:p>
    <w:p>
      <w:pPr>
        <w:spacing w:before="150"/>
        <w:ind w:left="200" w:right="200"/>
        <w:jc w:val="center"/>
      </w:pPr>
      <w:r>
        <w:rPr>
          <w:rFonts w:ascii="黑体" w:hAnsi="黑体" w:eastAsia="黑体" w:cs="黑体"/>
          <w:position w:val="30"/>
          <w:sz w:val="42"/>
        </w:rPr>
        <w:t>2023年</w:t>
      </w:r>
      <w:r>
        <w:rPr>
          <w:rFonts w:hint="eastAsia" w:ascii="黑体" w:hAnsi="黑体" w:eastAsia="黑体" w:cs="黑体"/>
          <w:position w:val="30"/>
          <w:sz w:val="42"/>
          <w:lang w:val="en-US" w:eastAsia="zh-CN"/>
        </w:rPr>
        <w:t>部门</w:t>
      </w:r>
      <w:r>
        <w:rPr>
          <w:rFonts w:ascii="黑体" w:hAnsi="黑体" w:eastAsia="黑体" w:cs="黑体"/>
          <w:position w:val="30"/>
          <w:sz w:val="42"/>
        </w:rPr>
        <w:t>预算公开</w:t>
      </w:r>
    </w:p>
    <w:p>
      <w:r>
        <w:br w:type="page"/>
      </w:r>
    </w:p>
    <w:p>
      <w:pPr>
        <w:jc w:val="center"/>
      </w:pPr>
      <w:r>
        <w:rPr>
          <w:rFonts w:ascii="黑体" w:hAnsi="黑体" w:eastAsia="黑体" w:cs="黑体"/>
          <w:position w:val="30"/>
          <w:sz w:val="42"/>
        </w:rPr>
        <w:t>目录</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黑体" w:hAnsi="黑体" w:eastAsia="黑体" w:cs="黑体"/>
          <w:position w:val="15"/>
          <w:sz w:val="32"/>
          <w:szCs w:val="32"/>
        </w:rPr>
        <w:t>第一部分</w:t>
      </w:r>
      <w:r>
        <w:rPr>
          <w:rFonts w:hint="eastAsia" w:ascii="黑体" w:hAnsi="黑体" w:eastAsia="黑体" w:cs="黑体"/>
          <w:position w:val="15"/>
          <w:sz w:val="32"/>
          <w:szCs w:val="32"/>
          <w:lang w:val="en-US" w:eastAsia="zh-CN"/>
        </w:rPr>
        <w:t>2023年部门</w:t>
      </w:r>
      <w:r>
        <w:rPr>
          <w:rFonts w:ascii="黑体" w:hAnsi="黑体" w:eastAsia="黑体" w:cs="黑体"/>
          <w:position w:val="15"/>
          <w:sz w:val="32"/>
          <w:szCs w:val="32"/>
        </w:rPr>
        <w:t>概况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一、主要职能</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二、机构设置及人员情况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黑体" w:hAnsi="黑体" w:eastAsia="黑体" w:cs="黑体"/>
          <w:position w:val="15"/>
          <w:sz w:val="32"/>
          <w:szCs w:val="32"/>
        </w:rPr>
        <w:t>第二部分2023年</w:t>
      </w:r>
      <w:r>
        <w:rPr>
          <w:rFonts w:hint="eastAsia" w:ascii="黑体" w:hAnsi="黑体" w:eastAsia="黑体" w:cs="黑体"/>
          <w:position w:val="15"/>
          <w:sz w:val="32"/>
          <w:szCs w:val="32"/>
          <w:lang w:val="en-US" w:eastAsia="zh-CN"/>
        </w:rPr>
        <w:t>部门</w:t>
      </w:r>
      <w:r>
        <w:rPr>
          <w:rFonts w:ascii="黑体" w:hAnsi="黑体" w:eastAsia="黑体" w:cs="黑体"/>
          <w:position w:val="15"/>
          <w:sz w:val="32"/>
          <w:szCs w:val="32"/>
        </w:rPr>
        <w:t>预算公开表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w:t>
      </w:r>
      <w:r>
        <w:rPr>
          <w:rFonts w:hint="eastAsia" w:ascii="仿宋" w:hAnsi="仿宋" w:eastAsia="仿宋" w:cs="仿宋"/>
          <w:position w:val="10"/>
          <w:sz w:val="32"/>
          <w:szCs w:val="32"/>
          <w:lang w:val="en-US" w:eastAsia="zh-CN"/>
        </w:rPr>
        <w:t>部门</w:t>
      </w:r>
      <w:r>
        <w:rPr>
          <w:rFonts w:ascii="仿宋" w:hAnsi="仿宋" w:eastAsia="仿宋" w:cs="仿宋"/>
          <w:position w:val="10"/>
          <w:sz w:val="32"/>
          <w:szCs w:val="32"/>
        </w:rPr>
        <w:t>收支总体情况表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二、</w:t>
      </w:r>
      <w:r>
        <w:rPr>
          <w:rFonts w:hint="eastAsia" w:ascii="仿宋" w:hAnsi="仿宋" w:eastAsia="仿宋" w:cs="仿宋"/>
          <w:position w:val="10"/>
          <w:sz w:val="32"/>
          <w:szCs w:val="32"/>
          <w:lang w:val="en-US" w:eastAsia="zh-CN"/>
        </w:rPr>
        <w:t>部门</w:t>
      </w:r>
      <w:r>
        <w:rPr>
          <w:rFonts w:ascii="仿宋" w:hAnsi="仿宋" w:eastAsia="仿宋" w:cs="仿宋"/>
          <w:position w:val="10"/>
          <w:sz w:val="32"/>
          <w:szCs w:val="32"/>
        </w:rPr>
        <w:t>收入总体情况表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三、</w:t>
      </w:r>
      <w:r>
        <w:rPr>
          <w:rFonts w:hint="eastAsia" w:ascii="仿宋" w:hAnsi="仿宋" w:eastAsia="仿宋" w:cs="仿宋"/>
          <w:position w:val="10"/>
          <w:sz w:val="32"/>
          <w:szCs w:val="32"/>
          <w:lang w:val="en-US" w:eastAsia="zh-CN"/>
        </w:rPr>
        <w:t>部门</w:t>
      </w:r>
      <w:r>
        <w:rPr>
          <w:rFonts w:ascii="仿宋" w:hAnsi="仿宋" w:eastAsia="仿宋" w:cs="仿宋"/>
          <w:position w:val="10"/>
          <w:sz w:val="32"/>
          <w:szCs w:val="32"/>
        </w:rPr>
        <w:t>支出总体情况表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四、财政拨款收支预算总体情况表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五、一般公共预算支出情况表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六、一般公共预算基本支出情况表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七、一般公共预算项目支出情况表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八、政府性基金预算支出情况表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九、国有资本经营预算支出情况表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十、财政拨款“三公”经费支出情况表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黑体" w:hAnsi="黑体" w:eastAsia="黑体" w:cs="黑体"/>
          <w:position w:val="15"/>
          <w:sz w:val="32"/>
          <w:szCs w:val="32"/>
        </w:rPr>
        <w:t>第三部分2023年</w:t>
      </w:r>
      <w:r>
        <w:rPr>
          <w:rFonts w:hint="eastAsia" w:ascii="黑体" w:hAnsi="黑体" w:eastAsia="黑体" w:cs="黑体"/>
          <w:position w:val="15"/>
          <w:sz w:val="32"/>
          <w:szCs w:val="32"/>
          <w:lang w:val="en-US" w:eastAsia="zh-CN"/>
        </w:rPr>
        <w:t>部门</w:t>
      </w:r>
      <w:r>
        <w:rPr>
          <w:rFonts w:ascii="黑体" w:hAnsi="黑体" w:eastAsia="黑体" w:cs="黑体"/>
          <w:position w:val="15"/>
          <w:sz w:val="32"/>
          <w:szCs w:val="32"/>
        </w:rPr>
        <w:t>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一、关于皮山县国有林场服务中心2023年收支预算情况的总体说明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二、关于皮山县国有林场服务中心2023年收入预算情况说明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三、关于皮山县国有林场服务中心2023年支出预算情况说明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四、关于皮山县国有林场服务中心2023年财政拨款收支预算情况的总体说明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五、关于皮山县国有林场服务中心2023年一般公共预算当年拨款情况说明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六、关于皮山县国有林场服务中心2023年一般公共预算基本支出情况说明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七、关于皮山县国有林场服务中心2023年一般公共预算项目支出情况说明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八、关于皮山县国有林场服务中心2023年政府性基金预算拨款情况说明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九、关于皮山县国有林场服务中心2023年国有资本经营预算拨款情况说明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十、关于皮山县国有林场服务中心2023年财政拨款“三公”经费预算情况说明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十一、其他重要事项的情况说明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黑体" w:hAnsi="黑体" w:eastAsia="黑体" w:cs="黑体"/>
          <w:position w:val="15"/>
          <w:sz w:val="32"/>
          <w:szCs w:val="32"/>
        </w:rPr>
        <w:t>第四部分名词解释</w:t>
      </w:r>
    </w:p>
    <w:p>
      <w:r>
        <w:br w:type="textWrapping"/>
      </w:r>
    </w:p>
    <w:p>
      <w:pPr>
        <w:rPr>
          <w:rFonts w:ascii="黑体" w:hAnsi="黑体" w:eastAsia="黑体" w:cs="黑体"/>
          <w:position w:val="30"/>
          <w:sz w:val="42"/>
        </w:rPr>
      </w:pPr>
      <w:r>
        <w:rPr>
          <w:rFonts w:ascii="黑体" w:hAnsi="黑体" w:eastAsia="黑体" w:cs="黑体"/>
          <w:position w:val="30"/>
          <w:sz w:val="42"/>
        </w:rPr>
        <w:br w:type="page"/>
      </w:r>
    </w:p>
    <w:p>
      <w:pPr>
        <w:ind w:left="200" w:right="200" w:firstLine="500"/>
        <w:jc w:val="center"/>
      </w:pPr>
      <w:r>
        <w:rPr>
          <w:rFonts w:ascii="黑体" w:hAnsi="黑体" w:eastAsia="黑体" w:cs="黑体"/>
          <w:position w:val="30"/>
          <w:sz w:val="42"/>
        </w:rPr>
        <w:t>第一部分</w:t>
      </w:r>
      <w:r>
        <w:rPr>
          <w:rFonts w:hint="eastAsia" w:ascii="黑体" w:hAnsi="黑体" w:eastAsia="黑体" w:cs="黑体"/>
          <w:position w:val="30"/>
          <w:sz w:val="42"/>
          <w:lang w:val="en-US" w:eastAsia="zh-CN"/>
        </w:rPr>
        <w:t>2023年部门</w:t>
      </w:r>
      <w:r>
        <w:rPr>
          <w:rFonts w:ascii="黑体" w:hAnsi="黑体" w:eastAsia="黑体" w:cs="黑体"/>
          <w:position w:val="30"/>
          <w:sz w:val="42"/>
        </w:rPr>
        <w:t>概况</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一、主要职能</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保护辖区森林资源，促进林业发展，管护站工作人员培训，集体林区生态建设，集体林区森林资源与林政管理，林木各种经营技术服务。</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森林资源培育：通过科学的造林、育林等措施，增加森林面积，提高森林质量，培育优质的森林资源，如营造混交林、开展森林抚育等工作。</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生态系统维护：保护和管理森林生态系统，维护生物多样性，为野生动植物提供适宜的栖息环境，对珍稀濒危物种及其栖息地进行重点保护。</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水土保持与水源涵养：发挥森林在保持水土、涵养水源方面的重要作用，减少水土流失，保障区域水资源的稳定和清洁，为周边地区的生态环境和农业生产等提供保障。</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position w:val="10"/>
          <w:sz w:val="32"/>
          <w:szCs w:val="32"/>
          <w:lang w:eastAsia="zh-CN"/>
        </w:rPr>
      </w:pPr>
      <w:r>
        <w:rPr>
          <w:rFonts w:hint="eastAsia" w:ascii="仿宋" w:hAnsi="仿宋" w:eastAsia="仿宋" w:cs="仿宋"/>
          <w:position w:val="10"/>
          <w:sz w:val="32"/>
          <w:szCs w:val="32"/>
        </w:rPr>
        <w:t>林业生产与经营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木材生产：在符合国家森林采伐政策和生态保护要求的前提下，合理组织木材生产，为社会提供优质的木材及其他林产品，如进行合理的间伐、择伐等作业。</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多种经营：利用林场的资源优势，开展多种经营活动，如发展林下经济，种植中药材、养殖林蛙等；开展森林旅游，开发森林康养项目等，提高林场的经济效益。</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position w:val="10"/>
          <w:sz w:val="32"/>
          <w:szCs w:val="32"/>
          <w:lang w:eastAsia="zh-CN"/>
        </w:rPr>
      </w:pPr>
      <w:r>
        <w:rPr>
          <w:rFonts w:hint="eastAsia" w:ascii="仿宋" w:hAnsi="仿宋" w:eastAsia="仿宋" w:cs="仿宋"/>
          <w:position w:val="10"/>
          <w:sz w:val="32"/>
          <w:szCs w:val="32"/>
        </w:rPr>
        <w:t>科研与示范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position w:val="10"/>
          <w:sz w:val="32"/>
          <w:szCs w:val="32"/>
          <w:lang w:eastAsia="zh-CN"/>
        </w:rPr>
      </w:pPr>
      <w:r>
        <w:rPr>
          <w:rFonts w:hint="eastAsia" w:ascii="仿宋" w:hAnsi="仿宋" w:eastAsia="仿宋" w:cs="仿宋"/>
          <w:position w:val="10"/>
          <w:sz w:val="32"/>
          <w:szCs w:val="32"/>
        </w:rPr>
        <w:t>林业科研试验：与科研机构、高校等合作，开展林业科研项目，进行新品种、新技术的试验和推广，为林业生产提供技术支持，如开展林木良种选育、森林病虫害防治技术研究等。</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示范推广：发挥国有林场的示范引领作用，将先进的林业技术和管理经验向周边地区推广，带动周边林农和集体林场提高经营管理水平和生产效益。</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资源管理与保护</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森林资源监测：运用现代技术手段，对森林资源的数量、质量、分布等进行动态监测，及时掌握森林资源的变化情况，为资源管理和决策提供科学依据。</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林政管理：依法加强林场范围内的林政管理，制止乱砍滥伐、乱占林地等违法行为，维护森林资源的安全和林场的经营秩序。</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森林防火与病虫害防治：建立健全森林防火和病虫害防治体系，加强监测预警和应急处置能力，有效预防和控制森林火灾和病虫害的发生，保护森林资源安全。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森林资源培育：通过科学的造林、育林等措施，增加森林面积，提高森林质量，培育优质的森林资源，如营造混交林、开展森林抚育等工作。</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生态系统维护：保护和管理森林生态系统，维护生物多样性，为野生动植物提供适宜的栖息环境，对珍稀濒危物种及其栖息地进行重点保护。</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hint="eastAsia" w:ascii="仿宋" w:hAnsi="仿宋" w:eastAsia="仿宋" w:cs="仿宋"/>
          <w:position w:val="10"/>
          <w:sz w:val="32"/>
          <w:szCs w:val="32"/>
        </w:rPr>
        <w:t>水土保持与水源涵养：发挥森林在保持水土、涵养水源方面的重要作用，减少水土流失，保障区域水资源的稳定和清洁，为周边地区的生态环境和农业生产等提供保障。</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二、机构设置及人员情况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皮山县国有林场服务中心无下属预算单位，下设0个科室。</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皮山县国有林场服务中心单位编制数10，实有人数13人，其中：在职9人，增加0人；退休4人，增加0人；离休0人，增加0人。</w:t>
      </w:r>
    </w:p>
    <w:p>
      <w:r>
        <w:br w:type="textWrapping"/>
      </w:r>
    </w:p>
    <w:p>
      <w:pPr>
        <w:rPr>
          <w:rFonts w:ascii="黑体" w:hAnsi="黑体" w:eastAsia="黑体" w:cs="黑体"/>
          <w:position w:val="30"/>
          <w:sz w:val="42"/>
        </w:rPr>
      </w:pPr>
      <w:r>
        <w:rPr>
          <w:rFonts w:ascii="黑体" w:hAnsi="黑体" w:eastAsia="黑体" w:cs="黑体"/>
          <w:position w:val="30"/>
          <w:sz w:val="42"/>
        </w:rPr>
        <w:br w:type="page"/>
      </w:r>
    </w:p>
    <w:p>
      <w:pPr>
        <w:ind w:left="200" w:right="200" w:firstLine="500"/>
        <w:jc w:val="center"/>
      </w:pPr>
      <w:r>
        <w:rPr>
          <w:rFonts w:ascii="黑体" w:hAnsi="黑体" w:eastAsia="黑体" w:cs="黑体"/>
          <w:position w:val="30"/>
          <w:sz w:val="42"/>
        </w:rPr>
        <w:t>第二部分2023年</w:t>
      </w:r>
      <w:r>
        <w:rPr>
          <w:rFonts w:hint="eastAsia" w:ascii="黑体" w:hAnsi="黑体" w:eastAsia="黑体" w:cs="黑体"/>
          <w:position w:val="30"/>
          <w:sz w:val="42"/>
          <w:lang w:val="en-US" w:eastAsia="zh-CN"/>
        </w:rPr>
        <w:t>部门</w:t>
      </w:r>
      <w:r>
        <w:rPr>
          <w:rFonts w:ascii="黑体" w:hAnsi="黑体" w:eastAsia="黑体" w:cs="黑体"/>
          <w:position w:val="30"/>
          <w:sz w:val="42"/>
        </w:rPr>
        <w:t>预算公开表</w:t>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2100"/>
        <w:gridCol w:w="2100"/>
        <w:gridCol w:w="2100"/>
        <w:gridCol w:w="21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4"/>
            <w:tcBorders>
              <w:top w:val="nil"/>
              <w:left w:val="nil"/>
              <w:bottom w:val="nil"/>
              <w:right w:val="nil"/>
            </w:tcBorders>
            <w:vAlign w:val="center"/>
          </w:tcPr>
          <w:p>
            <w:pPr>
              <w:ind w:left="150"/>
              <w:jc w:val="left"/>
            </w:pPr>
            <w:r>
              <w:rPr>
                <w:rFonts w:ascii="仿宋" w:hAnsi="仿宋" w:eastAsia="仿宋" w:cs="仿宋"/>
                <w:position w:val="8"/>
                <w:sz w:val="20"/>
              </w:rPr>
              <w:t>表1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4"/>
            <w:tcBorders>
              <w:top w:val="nil"/>
              <w:left w:val="nil"/>
              <w:bottom w:val="nil"/>
              <w:right w:val="nil"/>
            </w:tcBorders>
            <w:vAlign w:val="center"/>
          </w:tcPr>
          <w:p>
            <w:pPr>
              <w:ind w:left="150"/>
              <w:jc w:val="center"/>
            </w:pPr>
            <w:r>
              <w:rPr>
                <w:rFonts w:hint="eastAsia" w:ascii="黑体" w:hAnsi="黑体" w:eastAsia="黑体" w:cs="黑体"/>
                <w:position w:val="15"/>
                <w:sz w:val="28"/>
                <w:lang w:val="en-US" w:eastAsia="zh-CN"/>
              </w:rPr>
              <w:t>部门</w:t>
            </w:r>
            <w:r>
              <w:rPr>
                <w:rFonts w:ascii="黑体" w:hAnsi="黑体" w:eastAsia="黑体" w:cs="黑体"/>
                <w:position w:val="15"/>
                <w:sz w:val="28"/>
              </w:rPr>
              <w:t>收支总体情况表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2"/>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：皮山县国有林场服务中心</w:t>
            </w:r>
          </w:p>
        </w:tc>
        <w:tc>
          <w:tcPr>
            <w:tcW w:w="4200" w:type="dxa"/>
            <w:gridSpan w:val="2"/>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收入</w:t>
            </w:r>
          </w:p>
        </w:tc>
        <w:tc>
          <w:tcPr>
            <w:tcW w:w="4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预算数</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预算数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一、本年收入</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890.03</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201一般公共服务支出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1.一般公共预算拨款</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890.03</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202外交支出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其中：一般财力</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185.03</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203国防支出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上级一般公共预算安排转移支付</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705.00</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204公共安全支出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2.基金预算拨款</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205教育支出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其中：政府性基金收入</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206科学技术支出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上级政府性基金安排转移支付</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207文化旅游体育与传媒支出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3.国有资本经营预算拨款</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208社会保障和就业支出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其中：国有资本经营收入</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209社会保险基金支出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上级国有资本经营预算安排转移支付</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210卫生健康支出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4.财政专户核拨</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211节能环保支出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705.00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5.单位资金</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212城乡社区支出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其中：事业收入</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213农林水支出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428.11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上级补助收入</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214交通运输支出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附属单位上缴收入</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215资源勘探工业信息等支出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事业单位经营收入</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216商业服务业等支出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其他收入</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217金融支出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二、上年结转结余</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266.58</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219援助其他地区支出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1.财政拨款结转</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266.58</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220自然资源海洋气象等支出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其中：一般公共预算拨款</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266.58</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221住房保障支出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基金预算拨款</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222粮油物资储备支出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国有资本经营预算拨款</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223国有资本经营预算支出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2.非财政拨款结转结余</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224灾害防治及应急管理支出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其中：财政专户核拨</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227预备费</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单位资金</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229其他支出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230转移性支出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231债务还本支出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232债务付息支出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233债务发行费用支出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234抗疫特别国债安排的支出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收入总计</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1156.61</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支出总计</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1156.61</w:t>
            </w:r>
          </w:p>
        </w:tc>
      </w:tr>
    </w:tbl>
    <w:p>
      <w:r>
        <w:br w:type="textWrapping"/>
      </w:r>
    </w:p>
    <w:p>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525"/>
        <w:gridCol w:w="525"/>
        <w:gridCol w:w="525"/>
        <w:gridCol w:w="525"/>
        <w:gridCol w:w="525"/>
        <w:gridCol w:w="525"/>
        <w:gridCol w:w="525"/>
        <w:gridCol w:w="525"/>
        <w:gridCol w:w="525"/>
        <w:gridCol w:w="525"/>
        <w:gridCol w:w="525"/>
        <w:gridCol w:w="525"/>
        <w:gridCol w:w="525"/>
        <w:gridCol w:w="525"/>
        <w:gridCol w:w="525"/>
        <w:gridCol w:w="52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6"/>
            <w:tcBorders>
              <w:top w:val="nil"/>
              <w:left w:val="nil"/>
              <w:bottom w:val="nil"/>
              <w:right w:val="nil"/>
            </w:tcBorders>
            <w:vAlign w:val="center"/>
          </w:tcPr>
          <w:p>
            <w:pPr>
              <w:ind w:left="150"/>
              <w:jc w:val="left"/>
            </w:pPr>
            <w:r>
              <w:rPr>
                <w:rFonts w:ascii="仿宋" w:hAnsi="仿宋" w:eastAsia="仿宋" w:cs="仿宋"/>
                <w:position w:val="8"/>
                <w:sz w:val="20"/>
              </w:rPr>
              <w:t>表2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6"/>
            <w:tcBorders>
              <w:top w:val="nil"/>
              <w:left w:val="nil"/>
              <w:bottom w:val="nil"/>
              <w:right w:val="nil"/>
            </w:tcBorders>
            <w:vAlign w:val="center"/>
          </w:tcPr>
          <w:p>
            <w:pPr>
              <w:ind w:left="150"/>
              <w:jc w:val="center"/>
            </w:pPr>
            <w:r>
              <w:rPr>
                <w:rFonts w:hint="eastAsia" w:ascii="黑体" w:hAnsi="黑体" w:eastAsia="黑体" w:cs="黑体"/>
                <w:position w:val="15"/>
                <w:sz w:val="28"/>
                <w:lang w:val="en-US" w:eastAsia="zh-CN"/>
              </w:rPr>
              <w:t>部门</w:t>
            </w:r>
            <w:r>
              <w:rPr>
                <w:rFonts w:ascii="黑体" w:hAnsi="黑体" w:eastAsia="黑体" w:cs="黑体"/>
                <w:position w:val="15"/>
                <w:sz w:val="28"/>
              </w:rPr>
              <w:t>收入总体情况表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8"/>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：皮山县国有林场服务中心</w:t>
            </w:r>
          </w:p>
        </w:tc>
        <w:tc>
          <w:tcPr>
            <w:tcW w:w="4200" w:type="dxa"/>
            <w:gridSpan w:val="8"/>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5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功能分类编码</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总计</w:t>
            </w:r>
          </w:p>
        </w:tc>
        <w:tc>
          <w:tcPr>
            <w:tcW w:w="105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财政拨款（补助）</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财政专户（教育收费）</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单位资金</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财政拨款结转</w:t>
            </w:r>
          </w:p>
        </w:tc>
        <w:tc>
          <w:tcPr>
            <w:tcW w:w="105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非财政拨款结转结余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525" w:type="dxa"/>
            <w:vMerge w:val="continue"/>
          </w:tcPr>
          <w:p/>
        </w:tc>
        <w:tc>
          <w:tcPr>
            <w:tcW w:w="525" w:type="dxa"/>
            <w:vMerge w:val="continue"/>
          </w:tc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财政拨款（补助）小计</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上级一般公共预算安排的转移支付</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上级政府性基金安排的转移支付</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上级国有资本经营预算安排的转移支付</w:t>
            </w:r>
          </w:p>
        </w:tc>
        <w:tc>
          <w:tcPr>
            <w:tcW w:w="525" w:type="dxa"/>
            <w:vMerge w:val="continue"/>
          </w:tcPr>
          <w:p/>
        </w:tc>
        <w:tc>
          <w:tcPr>
            <w:tcW w:w="525" w:type="dxa"/>
            <w:vMerge w:val="continue"/>
          </w:tcPr>
          <w:p/>
        </w:tc>
        <w:tc>
          <w:tcPr>
            <w:tcW w:w="525" w:type="dxa"/>
            <w:vMerge w:val="continue"/>
          </w:tcPr>
          <w:p/>
        </w:tc>
        <w:tc>
          <w:tcPr>
            <w:tcW w:w="525"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社会保障和就业支出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23.50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23.50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23.50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行政事业单位养老支出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23.50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23.50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23.50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15.67</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15.67</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15.67</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机关事业单位职业年金缴费支出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7.83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7.83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7.83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节能环保支出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705.00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705.00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705.00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天然林保护</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705.00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705.00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705.00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森林管护</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705.00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705.00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705.00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农林水支出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428.11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161.53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161.53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266.58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林业</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418.18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161.53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161.53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256.65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事业机构</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161.53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161.53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161.53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森林资源培育</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森林生态效益补偿</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255.32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255.32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巩固脱贫攻坚成果衔接乡村振兴</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9.93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9.93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生产发展</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9.93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9.93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1156.61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890.03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185.03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705.00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266.58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r>
        <w:br w:type="textWrapping"/>
      </w:r>
    </w:p>
    <w:p>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480"/>
        <w:gridCol w:w="720"/>
        <w:gridCol w:w="960"/>
        <w:gridCol w:w="240"/>
        <w:gridCol w:w="600"/>
        <w:gridCol w:w="600"/>
        <w:gridCol w:w="240"/>
        <w:gridCol w:w="960"/>
        <w:gridCol w:w="720"/>
        <w:gridCol w:w="480"/>
        <w:gridCol w:w="12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2"/>
            <w:tcBorders>
              <w:top w:val="nil"/>
              <w:left w:val="nil"/>
              <w:bottom w:val="nil"/>
              <w:right w:val="nil"/>
            </w:tcBorders>
            <w:vAlign w:val="center"/>
          </w:tcPr>
          <w:p>
            <w:pPr>
              <w:ind w:left="150"/>
              <w:jc w:val="left"/>
            </w:pPr>
            <w:r>
              <w:rPr>
                <w:rFonts w:ascii="仿宋" w:hAnsi="仿宋" w:eastAsia="仿宋" w:cs="仿宋"/>
                <w:position w:val="8"/>
                <w:sz w:val="20"/>
              </w:rPr>
              <w:t>表3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2"/>
            <w:tcBorders>
              <w:top w:val="nil"/>
              <w:left w:val="nil"/>
              <w:bottom w:val="nil"/>
              <w:right w:val="nil"/>
            </w:tcBorders>
            <w:vAlign w:val="center"/>
          </w:tcPr>
          <w:p>
            <w:pPr>
              <w:ind w:left="150"/>
              <w:jc w:val="center"/>
            </w:pPr>
            <w:r>
              <w:rPr>
                <w:rFonts w:hint="eastAsia" w:ascii="黑体" w:hAnsi="黑体" w:eastAsia="黑体" w:cs="黑体"/>
                <w:position w:val="15"/>
                <w:sz w:val="28"/>
                <w:lang w:val="en-US" w:eastAsia="zh-CN"/>
              </w:rPr>
              <w:t>部门</w:t>
            </w:r>
            <w:r>
              <w:rPr>
                <w:rFonts w:ascii="黑体" w:hAnsi="黑体" w:eastAsia="黑体" w:cs="黑体"/>
                <w:position w:val="15"/>
                <w:sz w:val="28"/>
              </w:rPr>
              <w:t>支出总体情况表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：皮山县国有林场服务中心</w:t>
            </w:r>
          </w:p>
        </w:tc>
        <w:tc>
          <w:tcPr>
            <w:tcW w:w="4200" w:type="dxa"/>
            <w:gridSpan w:val="6"/>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支出预算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680"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1200" w:type="dxa"/>
            <w:gridSpan w:val="2"/>
            <w:vMerge w:val="continue"/>
          </w:tcPr>
          <w:p/>
        </w:tc>
        <w:tc>
          <w:tcPr>
            <w:tcW w:w="1200" w:type="dxa"/>
            <w:gridSpan w:val="2"/>
            <w:vMerge w:val="continue"/>
          </w:tcPr>
          <w:p/>
        </w:tc>
        <w:tc>
          <w:tcPr>
            <w:tcW w:w="1200" w:type="dxa"/>
            <w:gridSpan w:val="2"/>
            <w:vMerge w:val="continue"/>
          </w:tcPr>
          <w:p/>
        </w:tc>
        <w:tc>
          <w:tcPr>
            <w:tcW w:w="1200"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社会保障和就业支出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23.50</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23.50</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行政事业单位养老支出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23.50</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23.50</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15.67</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15.67</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机关事业单位职业年金缴费支出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7.83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7.83</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节能环保支出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705.00</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705.00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天然林保护</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705.00</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705.00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森林管护</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705.00</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705.00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农林水支出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428.11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161.53</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266.58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林业</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418.18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161.53</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256.65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事业机构</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161.53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161.53</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森林资源培育</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1.33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森林生态效益补偿</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255.32</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255.32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巩固脱贫攻坚成果衔接乡村振兴</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9.93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9.93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生产发展</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9.93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9.93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1156.61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185.03</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971.58</w:t>
            </w:r>
          </w:p>
        </w:tc>
      </w:tr>
    </w:tbl>
    <w:p>
      <w:r>
        <w:br w:type="textWrapping"/>
      </w:r>
    </w:p>
    <w:p>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850"/>
        <w:gridCol w:w="550"/>
        <w:gridCol w:w="2670"/>
        <w:gridCol w:w="530"/>
        <w:gridCol w:w="800"/>
        <w:gridCol w:w="1090"/>
        <w:gridCol w:w="91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left"/>
            </w:pPr>
            <w:r>
              <w:rPr>
                <w:rFonts w:ascii="仿宋" w:hAnsi="仿宋" w:eastAsia="仿宋" w:cs="仿宋"/>
                <w:position w:val="8"/>
                <w:sz w:val="20"/>
              </w:rPr>
              <w:t>表4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center"/>
            </w:pPr>
            <w:r>
              <w:rPr>
                <w:rFonts w:ascii="黑体" w:hAnsi="黑体" w:eastAsia="黑体" w:cs="黑体"/>
                <w:position w:val="15"/>
                <w:sz w:val="28"/>
              </w:rPr>
              <w:t>财政拨款收支预算总体情况表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070" w:type="dxa"/>
            <w:gridSpan w:val="3"/>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：皮山县国有林场服务中心</w:t>
            </w:r>
          </w:p>
        </w:tc>
        <w:tc>
          <w:tcPr>
            <w:tcW w:w="3330" w:type="dxa"/>
            <w:gridSpan w:val="4"/>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07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财政拨款收入</w:t>
            </w:r>
          </w:p>
        </w:tc>
        <w:tc>
          <w:tcPr>
            <w:tcW w:w="3330"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85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55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267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w:t>
            </w:r>
          </w:p>
        </w:tc>
        <w:tc>
          <w:tcPr>
            <w:tcW w:w="5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8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109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w:t>
            </w:r>
          </w:p>
        </w:tc>
        <w:tc>
          <w:tcPr>
            <w:tcW w:w="91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8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一、财政拨款（补助）</w:t>
            </w:r>
          </w:p>
        </w:tc>
        <w:tc>
          <w:tcPr>
            <w:tcW w:w="5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890.03</w:t>
            </w:r>
          </w:p>
        </w:tc>
        <w:tc>
          <w:tcPr>
            <w:tcW w:w="26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201一般公共服务支出</w:t>
            </w:r>
          </w:p>
        </w:tc>
        <w:tc>
          <w:tcPr>
            <w:tcW w:w="5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8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8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一般公共预算</w:t>
            </w:r>
          </w:p>
        </w:tc>
        <w:tc>
          <w:tcPr>
            <w:tcW w:w="5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890.03</w:t>
            </w:r>
          </w:p>
        </w:tc>
        <w:tc>
          <w:tcPr>
            <w:tcW w:w="26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202外交支出</w:t>
            </w:r>
          </w:p>
        </w:tc>
        <w:tc>
          <w:tcPr>
            <w:tcW w:w="5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8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8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政府性基金预算</w:t>
            </w:r>
          </w:p>
        </w:tc>
        <w:tc>
          <w:tcPr>
            <w:tcW w:w="55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6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203国防支出</w:t>
            </w:r>
          </w:p>
        </w:tc>
        <w:tc>
          <w:tcPr>
            <w:tcW w:w="5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8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8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国有资本经营预算</w:t>
            </w:r>
          </w:p>
        </w:tc>
        <w:tc>
          <w:tcPr>
            <w:tcW w:w="55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6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204公共安全支出</w:t>
            </w:r>
          </w:p>
        </w:tc>
        <w:tc>
          <w:tcPr>
            <w:tcW w:w="5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8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85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5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6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205教育支出</w:t>
            </w:r>
          </w:p>
        </w:tc>
        <w:tc>
          <w:tcPr>
            <w:tcW w:w="5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8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85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5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6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206科学技术支出</w:t>
            </w:r>
          </w:p>
        </w:tc>
        <w:tc>
          <w:tcPr>
            <w:tcW w:w="5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8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85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5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6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207文化旅游体育与传媒支出</w:t>
            </w:r>
          </w:p>
        </w:tc>
        <w:tc>
          <w:tcPr>
            <w:tcW w:w="5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8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85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5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6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208社会保障和就业支出</w:t>
            </w:r>
          </w:p>
        </w:tc>
        <w:tc>
          <w:tcPr>
            <w:tcW w:w="5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23.5</w:t>
            </w:r>
          </w:p>
        </w:tc>
        <w:tc>
          <w:tcPr>
            <w:tcW w:w="8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23.5</w:t>
            </w:r>
          </w:p>
        </w:tc>
        <w:tc>
          <w:tcPr>
            <w:tcW w:w="109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1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8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55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6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209社会保险基金支出</w:t>
            </w:r>
          </w:p>
        </w:tc>
        <w:tc>
          <w:tcPr>
            <w:tcW w:w="5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8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8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55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6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210卫生健康支出</w:t>
            </w:r>
          </w:p>
        </w:tc>
        <w:tc>
          <w:tcPr>
            <w:tcW w:w="5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8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8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55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6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211节能环保支出</w:t>
            </w:r>
          </w:p>
        </w:tc>
        <w:tc>
          <w:tcPr>
            <w:tcW w:w="5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705.00</w:t>
            </w:r>
          </w:p>
        </w:tc>
        <w:tc>
          <w:tcPr>
            <w:tcW w:w="8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705.00</w:t>
            </w:r>
          </w:p>
        </w:tc>
        <w:tc>
          <w:tcPr>
            <w:tcW w:w="109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1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8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55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6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212城乡社区支出</w:t>
            </w:r>
          </w:p>
        </w:tc>
        <w:tc>
          <w:tcPr>
            <w:tcW w:w="5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8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8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55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6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213农林水支出</w:t>
            </w:r>
          </w:p>
        </w:tc>
        <w:tc>
          <w:tcPr>
            <w:tcW w:w="5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161.53</w:t>
            </w:r>
          </w:p>
        </w:tc>
        <w:tc>
          <w:tcPr>
            <w:tcW w:w="8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161.53</w:t>
            </w:r>
          </w:p>
        </w:tc>
        <w:tc>
          <w:tcPr>
            <w:tcW w:w="109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1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8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55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6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214交通运输支出</w:t>
            </w:r>
          </w:p>
        </w:tc>
        <w:tc>
          <w:tcPr>
            <w:tcW w:w="5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8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8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55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6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215资源勘探工业信息等支出</w:t>
            </w:r>
          </w:p>
        </w:tc>
        <w:tc>
          <w:tcPr>
            <w:tcW w:w="5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8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8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55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6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216商业服务业等支出</w:t>
            </w:r>
          </w:p>
        </w:tc>
        <w:tc>
          <w:tcPr>
            <w:tcW w:w="5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8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8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55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6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217金融支出</w:t>
            </w:r>
          </w:p>
        </w:tc>
        <w:tc>
          <w:tcPr>
            <w:tcW w:w="5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8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8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55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6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219援助其他地区支出</w:t>
            </w:r>
          </w:p>
        </w:tc>
        <w:tc>
          <w:tcPr>
            <w:tcW w:w="5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8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8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55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6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220自然资源海洋气象等支出</w:t>
            </w:r>
          </w:p>
        </w:tc>
        <w:tc>
          <w:tcPr>
            <w:tcW w:w="5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8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8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55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6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221住房保障支出</w:t>
            </w:r>
          </w:p>
        </w:tc>
        <w:tc>
          <w:tcPr>
            <w:tcW w:w="5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8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85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5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6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222粮油物资储备支出</w:t>
            </w:r>
          </w:p>
        </w:tc>
        <w:tc>
          <w:tcPr>
            <w:tcW w:w="5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8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8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55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6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223国有资本经营预算支出</w:t>
            </w:r>
          </w:p>
        </w:tc>
        <w:tc>
          <w:tcPr>
            <w:tcW w:w="5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8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8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55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6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224灾害防治及应急管理支出</w:t>
            </w:r>
          </w:p>
        </w:tc>
        <w:tc>
          <w:tcPr>
            <w:tcW w:w="5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8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85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5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6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227预备费</w:t>
            </w:r>
          </w:p>
        </w:tc>
        <w:tc>
          <w:tcPr>
            <w:tcW w:w="5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8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8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55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6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229其他支出</w:t>
            </w:r>
          </w:p>
        </w:tc>
        <w:tc>
          <w:tcPr>
            <w:tcW w:w="5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8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8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55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6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230转移性支出</w:t>
            </w:r>
          </w:p>
        </w:tc>
        <w:tc>
          <w:tcPr>
            <w:tcW w:w="5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8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8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55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6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231债务还本支出</w:t>
            </w:r>
          </w:p>
        </w:tc>
        <w:tc>
          <w:tcPr>
            <w:tcW w:w="5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8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85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5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6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232债务付息支出</w:t>
            </w:r>
          </w:p>
        </w:tc>
        <w:tc>
          <w:tcPr>
            <w:tcW w:w="5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8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85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5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6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233债务发行费用支出</w:t>
            </w:r>
          </w:p>
        </w:tc>
        <w:tc>
          <w:tcPr>
            <w:tcW w:w="5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8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85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5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26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234抗疫特别国债安排的支出</w:t>
            </w:r>
          </w:p>
        </w:tc>
        <w:tc>
          <w:tcPr>
            <w:tcW w:w="53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80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09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91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8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收入总计</w:t>
            </w:r>
          </w:p>
        </w:tc>
        <w:tc>
          <w:tcPr>
            <w:tcW w:w="55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890.03</w:t>
            </w:r>
          </w:p>
        </w:tc>
        <w:tc>
          <w:tcPr>
            <w:tcW w:w="26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支出总计</w:t>
            </w:r>
          </w:p>
        </w:tc>
        <w:tc>
          <w:tcPr>
            <w:tcW w:w="53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890.03</w:t>
            </w:r>
          </w:p>
        </w:tc>
        <w:tc>
          <w:tcPr>
            <w:tcW w:w="8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890.03</w:t>
            </w:r>
          </w:p>
        </w:tc>
        <w:tc>
          <w:tcPr>
            <w:tcW w:w="109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910"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r>
        <w:br w:type="textWrapping"/>
      </w:r>
    </w:p>
    <w:p>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470"/>
        <w:gridCol w:w="660"/>
        <w:gridCol w:w="550"/>
        <w:gridCol w:w="2520"/>
        <w:gridCol w:w="840"/>
        <w:gridCol w:w="1680"/>
        <w:gridCol w:w="168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left"/>
            </w:pPr>
            <w:r>
              <w:rPr>
                <w:rFonts w:ascii="仿宋" w:hAnsi="仿宋" w:eastAsia="仿宋" w:cs="仿宋"/>
                <w:position w:val="8"/>
                <w:sz w:val="20"/>
              </w:rPr>
              <w:t>表5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center"/>
            </w:pPr>
            <w:r>
              <w:rPr>
                <w:rFonts w:ascii="黑体" w:hAnsi="黑体" w:eastAsia="黑体" w:cs="黑体"/>
                <w:position w:val="15"/>
                <w:sz w:val="28"/>
              </w:rPr>
              <w:t>一般公共预算支出情况表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200" w:type="dxa"/>
            <w:gridSpan w:val="4"/>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：皮山县国有林场服务中心</w:t>
            </w:r>
          </w:p>
        </w:tc>
        <w:tc>
          <w:tcPr>
            <w:tcW w:w="4200"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420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168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68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7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66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55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2520" w:type="dxa"/>
          </w:tcPr>
          <w:p/>
        </w:tc>
        <w:tc>
          <w:tcPr>
            <w:tcW w:w="840" w:type="dxa"/>
          </w:tcPr>
          <w:p/>
        </w:tc>
        <w:tc>
          <w:tcPr>
            <w:tcW w:w="1680" w:type="dxa"/>
          </w:tcPr>
          <w:p/>
        </w:tc>
        <w:tc>
          <w:tcPr>
            <w:tcW w:w="168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66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5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社会保障和就业支出</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23.50</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23.50</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6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5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行政事业单位养老支出</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23.50</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23.50</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6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机关事业单位基本养老保险缴费支出</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15.67</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15.67</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6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机关事业单位职业年金缴费支出</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7.83</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7.83</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w:t>
            </w:r>
          </w:p>
        </w:tc>
        <w:tc>
          <w:tcPr>
            <w:tcW w:w="66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5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节能环保支出</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705.00</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705.00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w:t>
            </w:r>
          </w:p>
        </w:tc>
        <w:tc>
          <w:tcPr>
            <w:tcW w:w="6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5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天然林保护</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705.00</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705.00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w:t>
            </w:r>
          </w:p>
        </w:tc>
        <w:tc>
          <w:tcPr>
            <w:tcW w:w="6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森林管护</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705.00</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705.00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66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5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农林水支出</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161.53</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161.53</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6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55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林业</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161.53</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161.53</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7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w:t>
            </w:r>
          </w:p>
        </w:tc>
        <w:tc>
          <w:tcPr>
            <w:tcW w:w="66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55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04</w:t>
            </w: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事业机构</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161.53</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161.53</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7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66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5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252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890.03</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185.03</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705.00</w:t>
            </w:r>
          </w:p>
        </w:tc>
      </w:tr>
    </w:tbl>
    <w:p>
      <w:r>
        <w:br w:type="textWrapping"/>
      </w:r>
    </w:p>
    <w:p>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080"/>
        <w:gridCol w:w="1210"/>
        <w:gridCol w:w="1910"/>
        <w:gridCol w:w="840"/>
        <w:gridCol w:w="1680"/>
        <w:gridCol w:w="168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6"/>
            <w:tcBorders>
              <w:top w:val="nil"/>
              <w:left w:val="nil"/>
              <w:bottom w:val="nil"/>
              <w:right w:val="nil"/>
            </w:tcBorders>
            <w:vAlign w:val="center"/>
          </w:tcPr>
          <w:p>
            <w:pPr>
              <w:ind w:left="150"/>
              <w:jc w:val="left"/>
            </w:pPr>
            <w:r>
              <w:rPr>
                <w:rFonts w:ascii="仿宋" w:hAnsi="仿宋" w:eastAsia="仿宋" w:cs="仿宋"/>
                <w:position w:val="8"/>
                <w:sz w:val="20"/>
              </w:rPr>
              <w:t>表6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6"/>
            <w:tcBorders>
              <w:top w:val="nil"/>
              <w:left w:val="nil"/>
              <w:bottom w:val="nil"/>
              <w:right w:val="nil"/>
            </w:tcBorders>
            <w:vAlign w:val="center"/>
          </w:tcPr>
          <w:p>
            <w:pPr>
              <w:ind w:left="150"/>
              <w:jc w:val="center"/>
            </w:pPr>
            <w:r>
              <w:rPr>
                <w:rFonts w:ascii="黑体" w:hAnsi="黑体" w:eastAsia="黑体" w:cs="黑体"/>
                <w:position w:val="15"/>
                <w:sz w:val="28"/>
              </w:rPr>
              <w:t>一般公共预算基本支出情况表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200" w:type="dxa"/>
            <w:gridSpan w:val="3"/>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：皮山县国有林场服务中心</w:t>
            </w:r>
          </w:p>
        </w:tc>
        <w:tc>
          <w:tcPr>
            <w:tcW w:w="4200"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420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一般公共预算基本支出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经济分类科目编码</w:t>
            </w:r>
          </w:p>
        </w:tc>
        <w:tc>
          <w:tcPr>
            <w:tcW w:w="121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经济分类科目名称</w:t>
            </w:r>
          </w:p>
        </w:tc>
        <w:tc>
          <w:tcPr>
            <w:tcW w:w="275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人员经费</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公用经费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21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1910" w:type="dxa"/>
          </w:tcPr>
          <w:p/>
        </w:tc>
        <w:tc>
          <w:tcPr>
            <w:tcW w:w="840" w:type="dxa"/>
          </w:tcPr>
          <w:p/>
        </w:tc>
        <w:tc>
          <w:tcPr>
            <w:tcW w:w="1680" w:type="dxa"/>
          </w:tcPr>
          <w:p/>
        </w:tc>
        <w:tc>
          <w:tcPr>
            <w:tcW w:w="168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0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21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9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工资福利支出</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174.64</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174.64</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0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2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9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基本工资</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36.57</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36.57</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0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2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19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津贴补贴</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47.8</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47.8</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0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2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19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奖金</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15.00</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15.00</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0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2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07</w:t>
            </w:r>
          </w:p>
        </w:tc>
        <w:tc>
          <w:tcPr>
            <w:tcW w:w="19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绩效工资</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26.6</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26.6</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0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2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19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15.67</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15.67</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0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2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19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职业年金缴费</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7.83</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7.83</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0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2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19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城镇职工基本医疗保险缴费</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6.37</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6.37</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0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2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11</w:t>
            </w:r>
          </w:p>
        </w:tc>
        <w:tc>
          <w:tcPr>
            <w:tcW w:w="19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公务员医疗补助缴费</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6.26</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6.26</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0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2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12</w:t>
            </w:r>
          </w:p>
        </w:tc>
        <w:tc>
          <w:tcPr>
            <w:tcW w:w="19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其他社会保障缴费</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0.79</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0.79</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0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2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13</w:t>
            </w:r>
          </w:p>
        </w:tc>
        <w:tc>
          <w:tcPr>
            <w:tcW w:w="19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住房公积金</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11.75</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11.75</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0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302</w:t>
            </w:r>
          </w:p>
        </w:tc>
        <w:tc>
          <w:tcPr>
            <w:tcW w:w="121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9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商品和服务支出</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4.57</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0.97</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0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302</w:t>
            </w:r>
          </w:p>
        </w:tc>
        <w:tc>
          <w:tcPr>
            <w:tcW w:w="12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9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办公费</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3.6</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0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302</w:t>
            </w:r>
          </w:p>
        </w:tc>
        <w:tc>
          <w:tcPr>
            <w:tcW w:w="12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19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取暖费</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0.97</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0.97</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0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121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9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对个人和家庭的补助支出</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5.82</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5.82</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0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12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19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退休费</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5.24</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5.24</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0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12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9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生活补助</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0.58</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0.58</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08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1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91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185.03</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181.43</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3.6</w:t>
            </w:r>
          </w:p>
        </w:tc>
      </w:tr>
    </w:tbl>
    <w:p>
      <w:r>
        <w:br w:type="textWrapping"/>
      </w:r>
    </w:p>
    <w:p>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525"/>
        <w:gridCol w:w="525"/>
        <w:gridCol w:w="525"/>
        <w:gridCol w:w="225"/>
        <w:gridCol w:w="300"/>
        <w:gridCol w:w="300"/>
        <w:gridCol w:w="225"/>
        <w:gridCol w:w="375"/>
        <w:gridCol w:w="150"/>
        <w:gridCol w:w="450"/>
        <w:gridCol w:w="75"/>
        <w:gridCol w:w="525"/>
        <w:gridCol w:w="525"/>
        <w:gridCol w:w="75"/>
        <w:gridCol w:w="450"/>
        <w:gridCol w:w="150"/>
        <w:gridCol w:w="375"/>
        <w:gridCol w:w="225"/>
        <w:gridCol w:w="300"/>
        <w:gridCol w:w="300"/>
        <w:gridCol w:w="225"/>
        <w:gridCol w:w="375"/>
        <w:gridCol w:w="150"/>
        <w:gridCol w:w="450"/>
        <w:gridCol w:w="75"/>
        <w:gridCol w:w="52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26"/>
            <w:tcBorders>
              <w:top w:val="nil"/>
              <w:left w:val="nil"/>
              <w:bottom w:val="nil"/>
              <w:right w:val="nil"/>
            </w:tcBorders>
            <w:vAlign w:val="center"/>
          </w:tcPr>
          <w:p>
            <w:pPr>
              <w:ind w:left="150"/>
              <w:jc w:val="left"/>
            </w:pPr>
            <w:r>
              <w:rPr>
                <w:rFonts w:ascii="仿宋" w:hAnsi="仿宋" w:eastAsia="仿宋" w:cs="仿宋"/>
                <w:position w:val="8"/>
                <w:sz w:val="20"/>
              </w:rPr>
              <w:t>表7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26"/>
            <w:tcBorders>
              <w:top w:val="nil"/>
              <w:left w:val="nil"/>
              <w:bottom w:val="nil"/>
              <w:right w:val="nil"/>
            </w:tcBorders>
            <w:vAlign w:val="center"/>
          </w:tcPr>
          <w:p>
            <w:pPr>
              <w:ind w:left="150"/>
              <w:jc w:val="center"/>
            </w:pPr>
            <w:r>
              <w:rPr>
                <w:rFonts w:ascii="黑体" w:hAnsi="黑体" w:eastAsia="黑体" w:cs="黑体"/>
                <w:position w:val="15"/>
                <w:sz w:val="28"/>
              </w:rPr>
              <w:t>一般公共预算项目支出情况表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200" w:type="dxa"/>
            <w:gridSpan w:val="12"/>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：皮山县国有林场服务中心</w:t>
            </w:r>
          </w:p>
        </w:tc>
        <w:tc>
          <w:tcPr>
            <w:tcW w:w="4200" w:type="dxa"/>
            <w:gridSpan w:val="14"/>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科目编码</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科目名称</w:t>
            </w:r>
          </w:p>
        </w:tc>
        <w:tc>
          <w:tcPr>
            <w:tcW w:w="75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项目名称</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项目支出合计</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工资福利支出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商品和服务支出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对个人和家庭的补助</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债务利息及费用支出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资本性支出（基本建设）</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资本性支出</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对企业补助（基本建设）</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对企业补助</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对社会保障基金补助</w:t>
            </w:r>
          </w:p>
        </w:tc>
        <w:tc>
          <w:tcPr>
            <w:tcW w:w="6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其他支出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525" w:type="dxa"/>
            <w:gridSpan w:val="2"/>
            <w:vMerge w:val="continue"/>
          </w:tcPr>
          <w:p/>
        </w:tc>
        <w:tc>
          <w:tcPr>
            <w:tcW w:w="525" w:type="dxa"/>
            <w:gridSpan w:val="2"/>
            <w:vMerge w:val="continue"/>
          </w:tcPr>
          <w:p/>
        </w:tc>
        <w:tc>
          <w:tcPr>
            <w:tcW w:w="525" w:type="dxa"/>
            <w:gridSpan w:val="2"/>
            <w:vMerge w:val="continue"/>
          </w:tcPr>
          <w:p/>
        </w:tc>
        <w:tc>
          <w:tcPr>
            <w:tcW w:w="525" w:type="dxa"/>
            <w:gridSpan w:val="2"/>
            <w:vMerge w:val="continue"/>
          </w:tcPr>
          <w:p/>
        </w:tc>
        <w:tc>
          <w:tcPr>
            <w:tcW w:w="525" w:type="dxa"/>
            <w:vMerge w:val="continue"/>
          </w:tcPr>
          <w:p/>
        </w:tc>
        <w:tc>
          <w:tcPr>
            <w:tcW w:w="525" w:type="dxa"/>
            <w:vMerge w:val="continue"/>
          </w:tcPr>
          <w:p/>
        </w:tc>
        <w:tc>
          <w:tcPr>
            <w:tcW w:w="525" w:type="dxa"/>
            <w:gridSpan w:val="2"/>
            <w:vMerge w:val="continue"/>
          </w:tcPr>
          <w:p/>
        </w:tc>
        <w:tc>
          <w:tcPr>
            <w:tcW w:w="525" w:type="dxa"/>
            <w:gridSpan w:val="2"/>
            <w:vMerge w:val="continue"/>
          </w:tcPr>
          <w:p/>
        </w:tc>
        <w:tc>
          <w:tcPr>
            <w:tcW w:w="525" w:type="dxa"/>
            <w:gridSpan w:val="2"/>
            <w:vMerge w:val="continue"/>
          </w:tcPr>
          <w:p/>
        </w:tc>
        <w:tc>
          <w:tcPr>
            <w:tcW w:w="525" w:type="dxa"/>
            <w:gridSpan w:val="2"/>
            <w:vMerge w:val="continue"/>
          </w:tcPr>
          <w:p/>
        </w:tc>
        <w:tc>
          <w:tcPr>
            <w:tcW w:w="525" w:type="dxa"/>
            <w:gridSpan w:val="2"/>
            <w:vMerge w:val="continue"/>
          </w:tcPr>
          <w:p/>
        </w:tc>
        <w:tc>
          <w:tcPr>
            <w:tcW w:w="525" w:type="dxa"/>
            <w:gridSpan w:val="2"/>
            <w:vMerge w:val="continue"/>
          </w:tcPr>
          <w:p/>
        </w:tc>
        <w:tc>
          <w:tcPr>
            <w:tcW w:w="525"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节能环保支出</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705.00</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705.00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天然林保护</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705.00</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705.00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森林管护</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2023年中央林业草原生态保护恢复资金-国家级公益林管护补助和地财建</w:t>
            </w:r>
            <w:r>
              <w:rPr>
                <w:rFonts w:hint="eastAsia" w:ascii="仿宋" w:hAnsi="仿宋" w:eastAsia="仿宋" w:cs="仿宋"/>
                <w:position w:val="8"/>
                <w:sz w:val="20"/>
                <w:lang w:eastAsia="zh-CN"/>
              </w:rPr>
              <w:t>〔2022〕113号</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705.00</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705.00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705.00</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705.00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r>
        <w:br w:type="textWrapping"/>
      </w:r>
    </w:p>
    <w:p>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480"/>
        <w:gridCol w:w="720"/>
        <w:gridCol w:w="960"/>
        <w:gridCol w:w="240"/>
        <w:gridCol w:w="600"/>
        <w:gridCol w:w="600"/>
        <w:gridCol w:w="240"/>
        <w:gridCol w:w="960"/>
        <w:gridCol w:w="720"/>
        <w:gridCol w:w="480"/>
        <w:gridCol w:w="12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2"/>
            <w:tcBorders>
              <w:top w:val="nil"/>
              <w:left w:val="nil"/>
              <w:bottom w:val="nil"/>
              <w:right w:val="nil"/>
            </w:tcBorders>
            <w:vAlign w:val="center"/>
          </w:tcPr>
          <w:p>
            <w:pPr>
              <w:ind w:left="150"/>
              <w:jc w:val="left"/>
            </w:pPr>
            <w:r>
              <w:rPr>
                <w:rFonts w:ascii="仿宋" w:hAnsi="仿宋" w:eastAsia="仿宋" w:cs="仿宋"/>
                <w:position w:val="8"/>
                <w:sz w:val="20"/>
              </w:rPr>
              <w:t>表8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2"/>
            <w:tcBorders>
              <w:top w:val="nil"/>
              <w:left w:val="nil"/>
              <w:bottom w:val="nil"/>
              <w:right w:val="nil"/>
            </w:tcBorders>
            <w:vAlign w:val="center"/>
          </w:tcPr>
          <w:p>
            <w:pPr>
              <w:ind w:left="150"/>
              <w:jc w:val="center"/>
            </w:pPr>
            <w:r>
              <w:rPr>
                <w:rFonts w:ascii="黑体" w:hAnsi="黑体" w:eastAsia="黑体" w:cs="黑体"/>
                <w:position w:val="15"/>
                <w:sz w:val="28"/>
              </w:rPr>
              <w:t>政府性基金预算支出情况表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200" w:type="dxa"/>
            <w:gridSpan w:val="6"/>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：皮山县国有林场服务中心</w:t>
            </w:r>
          </w:p>
        </w:tc>
        <w:tc>
          <w:tcPr>
            <w:tcW w:w="4200" w:type="dxa"/>
            <w:gridSpan w:val="6"/>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680"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1200" w:type="dxa"/>
            <w:gridSpan w:val="2"/>
            <w:vMerge w:val="continue"/>
          </w:tcPr>
          <w:p/>
        </w:tc>
        <w:tc>
          <w:tcPr>
            <w:tcW w:w="1200" w:type="dxa"/>
            <w:gridSpan w:val="2"/>
            <w:vMerge w:val="continue"/>
          </w:tcPr>
          <w:p/>
        </w:tc>
        <w:tc>
          <w:tcPr>
            <w:tcW w:w="1200" w:type="dxa"/>
            <w:gridSpan w:val="2"/>
            <w:vMerge w:val="continue"/>
          </w:tcPr>
          <w:p/>
        </w:tc>
        <w:tc>
          <w:tcPr>
            <w:tcW w:w="1200"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2"/>
            <w:tcBorders>
              <w:left w:val="nil"/>
              <w:bottom w:val="nil"/>
              <w:right w:val="nil"/>
            </w:tcBorders>
            <w:vAlign w:val="center"/>
          </w:tcPr>
          <w:p>
            <w:pPr>
              <w:ind w:left="150"/>
              <w:jc w:val="left"/>
            </w:pPr>
            <w:r>
              <w:rPr>
                <w:rFonts w:ascii="仿宋" w:hAnsi="仿宋" w:eastAsia="仿宋" w:cs="仿宋"/>
                <w:position w:val="8"/>
                <w:sz w:val="20"/>
              </w:rPr>
              <w:t>皮山县国有林场服务中心2023年没有使用政府性基金预算拨款安排的支出，政府性基金预算支出情况表为空表。</w:t>
            </w:r>
          </w:p>
        </w:tc>
      </w:tr>
    </w:tbl>
    <w:p>
      <w:r>
        <w:br w:type="textWrapping"/>
      </w:r>
    </w:p>
    <w:p>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480"/>
        <w:gridCol w:w="720"/>
        <w:gridCol w:w="960"/>
        <w:gridCol w:w="240"/>
        <w:gridCol w:w="600"/>
        <w:gridCol w:w="600"/>
        <w:gridCol w:w="240"/>
        <w:gridCol w:w="960"/>
        <w:gridCol w:w="720"/>
        <w:gridCol w:w="480"/>
        <w:gridCol w:w="12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2"/>
            <w:tcBorders>
              <w:top w:val="nil"/>
              <w:left w:val="nil"/>
              <w:bottom w:val="nil"/>
              <w:right w:val="nil"/>
            </w:tcBorders>
            <w:vAlign w:val="center"/>
          </w:tcPr>
          <w:p>
            <w:pPr>
              <w:ind w:left="150"/>
              <w:jc w:val="left"/>
            </w:pPr>
            <w:r>
              <w:rPr>
                <w:rFonts w:ascii="仿宋" w:hAnsi="仿宋" w:eastAsia="仿宋" w:cs="仿宋"/>
                <w:position w:val="8"/>
                <w:sz w:val="20"/>
              </w:rPr>
              <w:t>表9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2"/>
            <w:tcBorders>
              <w:top w:val="nil"/>
              <w:left w:val="nil"/>
              <w:bottom w:val="nil"/>
              <w:right w:val="nil"/>
            </w:tcBorders>
            <w:vAlign w:val="center"/>
          </w:tcPr>
          <w:p>
            <w:pPr>
              <w:ind w:left="150"/>
              <w:jc w:val="center"/>
            </w:pPr>
            <w:r>
              <w:rPr>
                <w:rFonts w:ascii="黑体" w:hAnsi="黑体" w:eastAsia="黑体" w:cs="黑体"/>
                <w:position w:val="15"/>
                <w:sz w:val="28"/>
              </w:rPr>
              <w:t>国有资本经营预算支出情况表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200" w:type="dxa"/>
            <w:gridSpan w:val="6"/>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：皮山县国有林场服务中心</w:t>
            </w:r>
          </w:p>
        </w:tc>
        <w:tc>
          <w:tcPr>
            <w:tcW w:w="4200" w:type="dxa"/>
            <w:gridSpan w:val="6"/>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680"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1200" w:type="dxa"/>
            <w:gridSpan w:val="2"/>
            <w:vMerge w:val="continue"/>
          </w:tcPr>
          <w:p/>
        </w:tc>
        <w:tc>
          <w:tcPr>
            <w:tcW w:w="1200" w:type="dxa"/>
            <w:gridSpan w:val="2"/>
            <w:vMerge w:val="continue"/>
          </w:tcPr>
          <w:p/>
        </w:tc>
        <w:tc>
          <w:tcPr>
            <w:tcW w:w="1200" w:type="dxa"/>
            <w:gridSpan w:val="2"/>
            <w:vMerge w:val="continue"/>
          </w:tcPr>
          <w:p/>
        </w:tc>
        <w:tc>
          <w:tcPr>
            <w:tcW w:w="1200"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Theme="minorEastAsia"/>
                <w:lang w:eastAsia="zh-CN"/>
              </w:rPr>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2"/>
            <w:tcBorders>
              <w:left w:val="nil"/>
              <w:bottom w:val="nil"/>
              <w:right w:val="nil"/>
            </w:tcBorders>
            <w:vAlign w:val="center"/>
          </w:tcPr>
          <w:p>
            <w:pPr>
              <w:ind w:left="150"/>
              <w:jc w:val="left"/>
            </w:pPr>
            <w:r>
              <w:rPr>
                <w:rFonts w:ascii="仿宋" w:hAnsi="仿宋" w:eastAsia="仿宋" w:cs="仿宋"/>
                <w:position w:val="8"/>
                <w:sz w:val="20"/>
              </w:rPr>
              <w:t>皮山县国有林场服务中心2023年没有安排国有资本经营预算的支出，国有资本经营预算支出情况表为空表。</w:t>
            </w:r>
          </w:p>
        </w:tc>
      </w:tr>
    </w:tbl>
    <w:p>
      <w:r>
        <w:br w:type="textWrapping"/>
      </w:r>
    </w:p>
    <w:p>
      <w:pPr>
        <w:ind w:left="150"/>
        <w:jc w:val="left"/>
        <w:rPr>
          <w:rFonts w:ascii="仿宋" w:hAnsi="仿宋" w:eastAsia="仿宋" w:cs="仿宋"/>
          <w:position w:val="8"/>
          <w:sz w:val="20"/>
        </w:rPr>
      </w:pPr>
      <w:r>
        <w:rPr>
          <w:rFonts w:ascii="仿宋" w:hAnsi="仿宋" w:eastAsia="仿宋" w:cs="仿宋"/>
          <w:position w:val="8"/>
          <w:sz w:val="20"/>
        </w:rPr>
        <w:br w:type="page"/>
      </w:r>
    </w:p>
    <w:tbl>
      <w:tblPr>
        <w:tblStyle w:val="3"/>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680"/>
        <w:gridCol w:w="1120"/>
        <w:gridCol w:w="560"/>
        <w:gridCol w:w="840"/>
        <w:gridCol w:w="840"/>
        <w:gridCol w:w="560"/>
        <w:gridCol w:w="1120"/>
        <w:gridCol w:w="168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8"/>
            <w:tcBorders>
              <w:top w:val="nil"/>
              <w:left w:val="nil"/>
              <w:bottom w:val="nil"/>
              <w:right w:val="nil"/>
            </w:tcBorders>
            <w:vAlign w:val="center"/>
          </w:tcPr>
          <w:p>
            <w:pPr>
              <w:ind w:left="150"/>
              <w:jc w:val="left"/>
            </w:pPr>
            <w:r>
              <w:rPr>
                <w:rFonts w:ascii="仿宋" w:hAnsi="仿宋" w:eastAsia="仿宋" w:cs="仿宋"/>
                <w:position w:val="8"/>
                <w:sz w:val="20"/>
              </w:rPr>
              <w:t>表10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8"/>
            <w:tcBorders>
              <w:top w:val="nil"/>
              <w:left w:val="nil"/>
              <w:bottom w:val="nil"/>
              <w:right w:val="nil"/>
            </w:tcBorders>
            <w:vAlign w:val="center"/>
          </w:tcPr>
          <w:p>
            <w:pPr>
              <w:ind w:left="150"/>
              <w:jc w:val="center"/>
            </w:pPr>
            <w:r>
              <w:rPr>
                <w:rFonts w:ascii="黑体" w:hAnsi="黑体" w:eastAsia="黑体" w:cs="黑体"/>
                <w:position w:val="15"/>
                <w:sz w:val="28"/>
              </w:rPr>
              <w:t>财政拨款“三公”经费支出情况表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200" w:type="dxa"/>
            <w:gridSpan w:val="4"/>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：皮山县国有林场服务中心</w:t>
            </w:r>
          </w:p>
        </w:tc>
        <w:tc>
          <w:tcPr>
            <w:tcW w:w="4200" w:type="dxa"/>
            <w:gridSpan w:val="4"/>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三公支出内容</w:t>
            </w:r>
          </w:p>
        </w:tc>
        <w:tc>
          <w:tcPr>
            <w:tcW w:w="2800"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28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资金来源</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vMerge w:val="continue"/>
          </w:tcPr>
          <w:p/>
        </w:tc>
        <w:tc>
          <w:tcPr>
            <w:tcW w:w="1680" w:type="dxa"/>
            <w:gridSpan w:val="2"/>
            <w:vMerge w:val="continue"/>
          </w:tc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合计</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因公出国(境)费用</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公务接待费</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公务用车购置及运行费（小计）</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其中：公务用车购置费</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公务用车运行费</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Theme="minorEastAsia"/>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8"/>
            <w:tcBorders>
              <w:left w:val="nil"/>
              <w:bottom w:val="nil"/>
              <w:right w:val="nil"/>
            </w:tcBorders>
            <w:vAlign w:val="center"/>
          </w:tcPr>
          <w:p>
            <w:pPr>
              <w:ind w:left="150"/>
              <w:jc w:val="left"/>
            </w:pPr>
            <w:r>
              <w:rPr>
                <w:rFonts w:ascii="仿宋" w:hAnsi="仿宋" w:eastAsia="仿宋" w:cs="仿宋"/>
                <w:position w:val="8"/>
                <w:sz w:val="20"/>
              </w:rPr>
              <w:t>皮山县国有林场服务中心2023年没有使用财政拨款“三公”经费安排的支出，财政拨款“三公”经费支出情况表为空表。</w:t>
            </w:r>
          </w:p>
        </w:tc>
      </w:tr>
    </w:tbl>
    <w:p>
      <w:r>
        <w:br w:type="textWrapping"/>
      </w:r>
    </w:p>
    <w:p>
      <w:pPr>
        <w:ind w:left="200" w:right="200" w:firstLine="500"/>
        <w:jc w:val="center"/>
        <w:rPr>
          <w:rFonts w:ascii="黑体" w:hAnsi="黑体" w:eastAsia="黑体" w:cs="黑体"/>
          <w:position w:val="30"/>
          <w:sz w:val="42"/>
        </w:rPr>
      </w:pPr>
    </w:p>
    <w:p>
      <w:pPr>
        <w:ind w:left="200" w:right="200" w:firstLine="500"/>
        <w:jc w:val="center"/>
        <w:rPr>
          <w:rFonts w:ascii="黑体" w:hAnsi="黑体" w:eastAsia="黑体" w:cs="黑体"/>
          <w:position w:val="30"/>
          <w:sz w:val="42"/>
        </w:rPr>
      </w:pPr>
    </w:p>
    <w:p>
      <w:pPr>
        <w:ind w:left="200" w:right="200" w:firstLine="500"/>
        <w:jc w:val="center"/>
        <w:rPr>
          <w:rFonts w:ascii="黑体" w:hAnsi="黑体" w:eastAsia="黑体" w:cs="黑体"/>
          <w:position w:val="30"/>
          <w:sz w:val="42"/>
        </w:rPr>
      </w:pPr>
    </w:p>
    <w:p>
      <w:pPr>
        <w:ind w:left="200" w:right="200" w:firstLine="500"/>
        <w:jc w:val="center"/>
        <w:rPr>
          <w:rFonts w:ascii="黑体" w:hAnsi="黑体" w:eastAsia="黑体" w:cs="黑体"/>
          <w:position w:val="30"/>
          <w:sz w:val="42"/>
        </w:rPr>
      </w:pPr>
    </w:p>
    <w:p>
      <w:pPr>
        <w:ind w:left="200" w:right="200" w:firstLine="500"/>
        <w:jc w:val="center"/>
        <w:rPr>
          <w:rFonts w:ascii="黑体" w:hAnsi="黑体" w:eastAsia="黑体" w:cs="黑体"/>
          <w:position w:val="30"/>
          <w:sz w:val="42"/>
        </w:rPr>
      </w:pPr>
    </w:p>
    <w:p>
      <w:pPr>
        <w:ind w:left="200" w:right="200" w:firstLine="500"/>
        <w:jc w:val="center"/>
        <w:rPr>
          <w:rFonts w:ascii="黑体" w:hAnsi="黑体" w:eastAsia="黑体" w:cs="黑体"/>
          <w:position w:val="30"/>
          <w:sz w:val="42"/>
        </w:rPr>
      </w:pPr>
    </w:p>
    <w:p>
      <w:pPr>
        <w:ind w:left="200" w:right="200" w:firstLine="500"/>
        <w:jc w:val="center"/>
        <w:rPr>
          <w:rFonts w:ascii="黑体" w:hAnsi="黑体" w:eastAsia="黑体" w:cs="黑体"/>
          <w:position w:val="30"/>
          <w:sz w:val="42"/>
        </w:rPr>
      </w:pPr>
    </w:p>
    <w:p>
      <w:pPr>
        <w:ind w:left="200" w:right="200" w:firstLine="500"/>
        <w:jc w:val="center"/>
        <w:rPr>
          <w:rFonts w:ascii="黑体" w:hAnsi="黑体" w:eastAsia="黑体" w:cs="黑体"/>
          <w:position w:val="30"/>
          <w:sz w:val="42"/>
        </w:rPr>
      </w:pPr>
    </w:p>
    <w:p>
      <w:pPr>
        <w:ind w:left="200" w:right="200" w:firstLine="500"/>
        <w:jc w:val="center"/>
        <w:rPr>
          <w:rFonts w:ascii="黑体" w:hAnsi="黑体" w:eastAsia="黑体" w:cs="黑体"/>
          <w:position w:val="30"/>
          <w:sz w:val="42"/>
        </w:rPr>
      </w:pPr>
    </w:p>
    <w:p>
      <w:pPr>
        <w:ind w:left="200" w:right="200" w:firstLine="500"/>
        <w:jc w:val="center"/>
        <w:rPr>
          <w:rFonts w:ascii="黑体" w:hAnsi="黑体" w:eastAsia="黑体" w:cs="黑体"/>
          <w:position w:val="30"/>
          <w:sz w:val="42"/>
        </w:rPr>
      </w:pPr>
    </w:p>
    <w:p>
      <w:pPr>
        <w:ind w:left="200" w:right="200" w:firstLine="500"/>
        <w:jc w:val="center"/>
      </w:pPr>
      <w:r>
        <w:rPr>
          <w:rFonts w:ascii="黑体" w:hAnsi="黑体" w:eastAsia="黑体" w:cs="黑体"/>
          <w:position w:val="30"/>
          <w:sz w:val="42"/>
        </w:rPr>
        <w:t>第三部分2023年皮山县国有林场服务中心预算情况说明</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一、关于皮山县国有林场服务中心2023年收支预算情况的总体说明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按照全口径预算的原则，皮山县国有林场服务中心2023年所有收入和支出均纳入单位预算管理。收支总预算1156.61万元。</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收入预算包括：一般公共预算、财政拨款。</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支出预算包括：社会保障和就业支出、节能环保支出、农林水支出。</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二、关于皮山县国有林场服务中心2023年收入预算情况说明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皮山县国有林场服务中心收入预算1156.61万元，其中：</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一般公共预算185.03万元，占16.00%，比上年预算增加16.74万元，增长9.95%，主要原因是</w:t>
      </w:r>
      <w:r>
        <w:rPr>
          <w:rFonts w:hint="eastAsia" w:ascii="仿宋" w:hAnsi="仿宋" w:eastAsia="仿宋" w:cs="仿宋"/>
          <w:position w:val="10"/>
          <w:sz w:val="32"/>
          <w:szCs w:val="32"/>
          <w:lang w:val="en-US" w:eastAsia="zh-CN"/>
        </w:rPr>
        <w:t>本年度</w:t>
      </w:r>
      <w:r>
        <w:rPr>
          <w:rFonts w:ascii="仿宋" w:hAnsi="仿宋" w:eastAsia="仿宋" w:cs="仿宋"/>
          <w:position w:val="10"/>
          <w:sz w:val="32"/>
          <w:szCs w:val="32"/>
        </w:rPr>
        <w:t>人员变动人员经费增加。</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上级一般公共预算安排的转移支付资金705万元，占60.95%，比上年预算增加705.00万元，增长100.00%，主要原因是2023年中央林业草原生态保护恢复资金-国家级公益林管护补助增加。</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政府性基金预算未安排。</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上级政府性基金安排的转移支付资金未安排。</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国有资本经营预算未安排。</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上级国有资本经营预算安排的转移支付资金未安排。</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财政拨款结转266.58万元，占23.05%，比上年预算增加98.29万元，增长58.41%，主要原因是</w:t>
      </w:r>
      <w:r>
        <w:rPr>
          <w:rFonts w:hint="eastAsia" w:ascii="仿宋" w:hAnsi="仿宋" w:eastAsia="仿宋" w:cs="仿宋"/>
          <w:position w:val="10"/>
          <w:sz w:val="32"/>
          <w:szCs w:val="32"/>
          <w:lang w:val="en-US" w:eastAsia="zh-CN"/>
        </w:rPr>
        <w:t>本年度比上年结转的资金多</w:t>
      </w:r>
      <w:r>
        <w:rPr>
          <w:rFonts w:ascii="仿宋" w:hAnsi="仿宋" w:eastAsia="仿宋" w:cs="仿宋"/>
          <w:position w:val="10"/>
          <w:sz w:val="32"/>
          <w:szCs w:val="32"/>
        </w:rPr>
        <w:t>。</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三、关于皮山县国有林场服务中心2023年支出预算情况说明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皮山县国有林场服务中心2023年支出预算1156.61万元，其中：</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基本支出185.03万元，占16.00%，比上年预算增加16.74万元，增长9.95%，主要原因是</w:t>
      </w:r>
      <w:r>
        <w:rPr>
          <w:rFonts w:hint="eastAsia" w:ascii="仿宋" w:hAnsi="仿宋" w:eastAsia="仿宋" w:cs="仿宋"/>
          <w:position w:val="10"/>
          <w:sz w:val="32"/>
          <w:szCs w:val="32"/>
          <w:lang w:val="en-US" w:eastAsia="zh-CN"/>
        </w:rPr>
        <w:t>本年度</w:t>
      </w:r>
      <w:r>
        <w:rPr>
          <w:rFonts w:ascii="仿宋" w:hAnsi="仿宋" w:eastAsia="仿宋" w:cs="仿宋"/>
          <w:position w:val="10"/>
          <w:sz w:val="32"/>
          <w:szCs w:val="32"/>
        </w:rPr>
        <w:t>人员变动人员经费增加。</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项目支出971.58万元，占84.00%，比上年预算增加971.58万元，增长100.00%，主要原因是</w:t>
      </w:r>
      <w:r>
        <w:rPr>
          <w:rFonts w:hint="eastAsia" w:ascii="仿宋" w:hAnsi="仿宋" w:eastAsia="仿宋" w:cs="仿宋"/>
          <w:position w:val="10"/>
          <w:sz w:val="32"/>
          <w:szCs w:val="32"/>
          <w:lang w:val="en-US" w:eastAsia="zh-CN"/>
        </w:rPr>
        <w:t>本年度上级安排项目资金比去年</w:t>
      </w:r>
      <w:r>
        <w:rPr>
          <w:rFonts w:ascii="仿宋" w:hAnsi="仿宋" w:eastAsia="仿宋" w:cs="仿宋"/>
          <w:position w:val="10"/>
          <w:sz w:val="32"/>
          <w:szCs w:val="32"/>
        </w:rPr>
        <w:t>增加。</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四、关于皮山县国有林场服务中心2023年财政拨款收支预算情况的总体说明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2023年财政拨款收支总预算890.03万元。</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收入预算包括：一般公共预算拨款890.03万元。</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一般公共预算支出包括：社会保障和就业支出23.5万元，主要用于机关事业单位基本养老保险缴费。</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节能环保支出705万元，主要用于国家管护员工资补助和社保补助。</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农林水支出161.53万元，主要</w:t>
      </w:r>
      <w:r>
        <w:rPr>
          <w:rFonts w:hint="eastAsia" w:ascii="仿宋" w:hAnsi="仿宋" w:eastAsia="仿宋" w:cs="仿宋"/>
          <w:position w:val="10"/>
          <w:sz w:val="32"/>
          <w:szCs w:val="32"/>
          <w:lang w:eastAsia="zh-CN"/>
        </w:rPr>
        <w:t>用于</w:t>
      </w:r>
      <w:r>
        <w:rPr>
          <w:rFonts w:ascii="仿宋" w:hAnsi="仿宋" w:eastAsia="仿宋" w:cs="仿宋"/>
          <w:position w:val="10"/>
          <w:sz w:val="32"/>
          <w:szCs w:val="32"/>
        </w:rPr>
        <w:t>人员经费，公用经费。</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五、关于皮山县国有林场服务中心2023年一般公共预算当年拨款情况说明</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position w:val="20"/>
          <w:sz w:val="32"/>
          <w:szCs w:val="32"/>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皮山县国有林场服务中心2023年一般公共预算拨款合计890.03万元，其中：</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基本支出185.03万元，比上年预算增加16.74万元，增长9.95%。主要原因是：</w:t>
      </w:r>
      <w:r>
        <w:rPr>
          <w:rFonts w:hint="eastAsia" w:ascii="仿宋" w:hAnsi="仿宋" w:eastAsia="仿宋" w:cs="仿宋"/>
          <w:position w:val="10"/>
          <w:sz w:val="32"/>
          <w:szCs w:val="32"/>
          <w:lang w:val="en-US" w:eastAsia="zh-CN"/>
        </w:rPr>
        <w:t>本年度</w:t>
      </w:r>
      <w:r>
        <w:rPr>
          <w:rFonts w:ascii="仿宋" w:hAnsi="仿宋" w:eastAsia="仿宋" w:cs="仿宋"/>
          <w:position w:val="10"/>
          <w:sz w:val="32"/>
          <w:szCs w:val="32"/>
        </w:rPr>
        <w:t>人员变动人员经费增加。</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项目支出705万元，比上年预算增加</w:t>
      </w:r>
      <w:r>
        <w:rPr>
          <w:rFonts w:hint="eastAsia" w:ascii="仿宋" w:hAnsi="仿宋" w:eastAsia="仿宋" w:cs="仿宋"/>
          <w:position w:val="10"/>
          <w:sz w:val="32"/>
          <w:szCs w:val="32"/>
          <w:lang w:val="en-US" w:eastAsia="zh-CN"/>
        </w:rPr>
        <w:t>10.31</w:t>
      </w:r>
      <w:r>
        <w:rPr>
          <w:rFonts w:ascii="仿宋" w:hAnsi="仿宋" w:eastAsia="仿宋" w:cs="仿宋"/>
          <w:position w:val="10"/>
          <w:sz w:val="32"/>
          <w:szCs w:val="32"/>
        </w:rPr>
        <w:t>万元，增长</w:t>
      </w:r>
      <w:r>
        <w:rPr>
          <w:rFonts w:hint="eastAsia" w:ascii="仿宋" w:hAnsi="仿宋" w:eastAsia="仿宋" w:cs="仿宋"/>
          <w:position w:val="10"/>
          <w:sz w:val="32"/>
          <w:szCs w:val="32"/>
          <w:lang w:val="en-US" w:eastAsia="zh-CN"/>
        </w:rPr>
        <w:t>1.46</w:t>
      </w:r>
      <w:r>
        <w:rPr>
          <w:rFonts w:ascii="仿宋" w:hAnsi="仿宋" w:eastAsia="仿宋" w:cs="仿宋"/>
          <w:position w:val="10"/>
          <w:sz w:val="32"/>
          <w:szCs w:val="32"/>
        </w:rPr>
        <w:t>%。主要原因是：</w:t>
      </w:r>
      <w:r>
        <w:rPr>
          <w:rFonts w:hint="eastAsia" w:ascii="仿宋" w:hAnsi="仿宋" w:eastAsia="仿宋" w:cs="仿宋"/>
          <w:position w:val="10"/>
          <w:sz w:val="32"/>
          <w:szCs w:val="32"/>
          <w:lang w:val="en-US" w:eastAsia="zh-CN"/>
        </w:rPr>
        <w:t>本年度上级安排</w:t>
      </w:r>
      <w:r>
        <w:rPr>
          <w:rFonts w:hint="eastAsia" w:ascii="仿宋" w:hAnsi="仿宋" w:eastAsia="仿宋" w:cs="仿宋"/>
          <w:position w:val="10"/>
          <w:sz w:val="32"/>
          <w:szCs w:val="32"/>
        </w:rPr>
        <w:t>森林资源管护—森林生态效益管护</w:t>
      </w:r>
      <w:r>
        <w:rPr>
          <w:rFonts w:hint="eastAsia" w:ascii="仿宋" w:hAnsi="仿宋" w:eastAsia="仿宋" w:cs="仿宋"/>
          <w:position w:val="10"/>
          <w:sz w:val="32"/>
          <w:szCs w:val="32"/>
          <w:lang w:val="en-US" w:eastAsia="zh-CN"/>
        </w:rPr>
        <w:t>补助项目增加</w:t>
      </w:r>
      <w:r>
        <w:rPr>
          <w:rFonts w:ascii="仿宋" w:hAnsi="仿宋" w:eastAsia="仿宋" w:cs="仿宋"/>
          <w:position w:val="10"/>
          <w:sz w:val="32"/>
          <w:szCs w:val="32"/>
        </w:rPr>
        <w:t>。</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1.社会保障和就业支出（类）23.50万元，占2.64%。</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2.节能环保支出（类）705万元，占79.21%。</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3.农林水支出（类）161.53万元，占18.15%。</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1.社会保障和就业支出（类）行政事业单位养老支出（款）机关事业单位基本养老保险缴费支出（项）:2023年预算数为15.67万元，比上年预算数减少0.48万元，下降2.97%，主要原因是：</w:t>
      </w:r>
      <w:r>
        <w:rPr>
          <w:rFonts w:hint="eastAsia" w:ascii="仿宋" w:hAnsi="仿宋" w:eastAsia="仿宋" w:cs="仿宋"/>
          <w:position w:val="10"/>
          <w:sz w:val="32"/>
          <w:szCs w:val="32"/>
          <w:lang w:val="en-US" w:eastAsia="zh-CN"/>
        </w:rPr>
        <w:t>本年度上级安排</w:t>
      </w:r>
      <w:r>
        <w:rPr>
          <w:rFonts w:ascii="仿宋" w:hAnsi="仿宋" w:eastAsia="仿宋" w:cs="仿宋"/>
          <w:position w:val="10"/>
          <w:sz w:val="32"/>
          <w:szCs w:val="32"/>
        </w:rPr>
        <w:t>机关事业单位基本养老保险缴费</w:t>
      </w:r>
      <w:r>
        <w:rPr>
          <w:rFonts w:hint="eastAsia" w:ascii="仿宋" w:hAnsi="仿宋" w:eastAsia="仿宋" w:cs="仿宋"/>
          <w:position w:val="10"/>
          <w:sz w:val="32"/>
          <w:szCs w:val="32"/>
          <w:lang w:val="en-US" w:eastAsia="zh-CN"/>
        </w:rPr>
        <w:t>减少</w:t>
      </w:r>
      <w:r>
        <w:rPr>
          <w:rFonts w:ascii="仿宋" w:hAnsi="仿宋" w:eastAsia="仿宋" w:cs="仿宋"/>
          <w:position w:val="1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2.社会保障和就业支出（类）行政事业单位养老支出（款）机关事业单位职业年金缴费支出（项）:2023年预算数为7.83万元，比上年预算数减少0.25万元，下降3.09%，主要原因是：</w:t>
      </w:r>
      <w:r>
        <w:rPr>
          <w:rFonts w:hint="eastAsia" w:ascii="仿宋" w:hAnsi="仿宋" w:eastAsia="仿宋" w:cs="仿宋"/>
          <w:position w:val="10"/>
          <w:sz w:val="32"/>
          <w:szCs w:val="32"/>
          <w:lang w:val="en-US" w:eastAsia="zh-CN"/>
        </w:rPr>
        <w:t>本年度上级安排</w:t>
      </w:r>
      <w:r>
        <w:rPr>
          <w:rFonts w:ascii="仿宋" w:hAnsi="仿宋" w:eastAsia="仿宋" w:cs="仿宋"/>
          <w:position w:val="10"/>
          <w:sz w:val="32"/>
          <w:szCs w:val="32"/>
        </w:rPr>
        <w:t>机关事业单位职业年金</w:t>
      </w:r>
      <w:r>
        <w:rPr>
          <w:rFonts w:hint="eastAsia" w:ascii="仿宋" w:hAnsi="仿宋" w:eastAsia="仿宋" w:cs="仿宋"/>
          <w:position w:val="10"/>
          <w:sz w:val="32"/>
          <w:szCs w:val="32"/>
          <w:lang w:val="en-US" w:eastAsia="zh-CN"/>
        </w:rPr>
        <w:t>减少</w:t>
      </w:r>
      <w:r>
        <w:rPr>
          <w:rFonts w:ascii="仿宋" w:hAnsi="仿宋" w:eastAsia="仿宋" w:cs="仿宋"/>
          <w:position w:val="1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3.节能环保支出（类）天然林保护（款）森林管护（项）:2023年预算数为705万元，比上年预算数增加</w:t>
      </w:r>
      <w:r>
        <w:rPr>
          <w:rFonts w:hint="eastAsia" w:ascii="仿宋" w:hAnsi="仿宋" w:eastAsia="仿宋" w:cs="仿宋"/>
          <w:position w:val="10"/>
          <w:sz w:val="32"/>
          <w:szCs w:val="32"/>
          <w:lang w:val="en-US" w:eastAsia="zh-CN"/>
        </w:rPr>
        <w:t>10.31</w:t>
      </w:r>
      <w:r>
        <w:rPr>
          <w:rFonts w:ascii="仿宋" w:hAnsi="仿宋" w:eastAsia="仿宋" w:cs="仿宋"/>
          <w:position w:val="10"/>
          <w:sz w:val="32"/>
          <w:szCs w:val="32"/>
        </w:rPr>
        <w:t>万元，增长</w:t>
      </w:r>
      <w:r>
        <w:rPr>
          <w:rFonts w:hint="eastAsia" w:ascii="仿宋" w:hAnsi="仿宋" w:eastAsia="仿宋" w:cs="仿宋"/>
          <w:position w:val="10"/>
          <w:sz w:val="32"/>
          <w:szCs w:val="32"/>
          <w:lang w:val="en-US" w:eastAsia="zh-CN"/>
        </w:rPr>
        <w:t>1.46</w:t>
      </w:r>
      <w:r>
        <w:rPr>
          <w:rFonts w:ascii="仿宋" w:hAnsi="仿宋" w:eastAsia="仿宋" w:cs="仿宋"/>
          <w:position w:val="10"/>
          <w:sz w:val="32"/>
          <w:szCs w:val="32"/>
        </w:rPr>
        <w:t>%，主要原因是：</w:t>
      </w:r>
      <w:r>
        <w:rPr>
          <w:rFonts w:hint="eastAsia" w:ascii="仿宋" w:hAnsi="仿宋" w:eastAsia="仿宋" w:cs="仿宋"/>
          <w:position w:val="10"/>
          <w:sz w:val="32"/>
          <w:szCs w:val="32"/>
          <w:lang w:val="en-US" w:eastAsia="zh-CN"/>
        </w:rPr>
        <w:t>本年度上级安排</w:t>
      </w:r>
      <w:r>
        <w:rPr>
          <w:rFonts w:hint="eastAsia" w:ascii="仿宋" w:hAnsi="仿宋" w:eastAsia="仿宋" w:cs="仿宋"/>
          <w:position w:val="10"/>
          <w:sz w:val="32"/>
          <w:szCs w:val="32"/>
        </w:rPr>
        <w:t>森林资源管护—森林生态效益管护</w:t>
      </w:r>
      <w:r>
        <w:rPr>
          <w:rFonts w:hint="eastAsia" w:ascii="仿宋" w:hAnsi="仿宋" w:eastAsia="仿宋" w:cs="仿宋"/>
          <w:position w:val="10"/>
          <w:sz w:val="32"/>
          <w:szCs w:val="32"/>
          <w:lang w:val="en-US" w:eastAsia="zh-CN"/>
        </w:rPr>
        <w:t>补助项目比上年有所增加</w:t>
      </w:r>
      <w:r>
        <w:rPr>
          <w:rFonts w:ascii="仿宋" w:hAnsi="仿宋" w:eastAsia="仿宋" w:cs="仿宋"/>
          <w:position w:val="10"/>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4.农林水支出（类）林业（款）事业机构（项）:2023年预算数为161.53万元，比上年预算数增加17.47万元，增长12.13%，主要原因是：用于人员经费，公用经费。</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六、关于皮山县国有林场服务中心2023年一般公共预算基本支出情况说明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皮山县国有林场服务中心2023年一般公共预算基本支出185.03万元，其中：</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人员经费181.43万元，主要包括：基本工资、津贴补贴、奖金、绩效工资、机关事业单位基本养老保险缴费、职业年金缴费、城镇职工基本医疗保险缴费、公务员医疗补助缴费、其他社会保障缴费、住房公积金、取暖费、退休费、生活补助。</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公用经费3.6万元，主要包括：办公费。</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七、关于皮山县国有林场服务中心2023年一般公共预算项目支出情况说明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1.项目名称：皮山县2023年中央财政林业草原生态保护恢复资金（森林生态效益补偿-管护支出)项目。</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设立的政策依据：根据和地财教</w:t>
      </w:r>
      <w:r>
        <w:rPr>
          <w:rFonts w:hint="eastAsia" w:ascii="仿宋" w:hAnsi="仿宋" w:eastAsia="仿宋" w:cs="仿宋"/>
          <w:position w:val="10"/>
          <w:sz w:val="32"/>
          <w:szCs w:val="32"/>
          <w:lang w:eastAsia="zh-CN"/>
        </w:rPr>
        <w:t>〔2022〕113号</w:t>
      </w:r>
      <w:r>
        <w:rPr>
          <w:rFonts w:ascii="仿宋" w:hAnsi="仿宋" w:eastAsia="仿宋" w:cs="仿宋"/>
          <w:position w:val="10"/>
          <w:sz w:val="32"/>
          <w:szCs w:val="32"/>
        </w:rPr>
        <w:t>文件</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预算安排规模：705万元</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项目承担单位：林业和草原局。</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资金分配情况：国家级公益林森林生态效益补偿面积122.95万亩。</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资金执行时间：</w:t>
      </w:r>
      <w:r>
        <w:rPr>
          <w:rFonts w:hint="eastAsia" w:ascii="仿宋" w:hAnsi="仿宋" w:eastAsia="仿宋" w:cs="仿宋"/>
          <w:position w:val="10"/>
          <w:sz w:val="32"/>
          <w:szCs w:val="32"/>
          <w:lang w:val="en-US" w:eastAsia="zh-CN"/>
        </w:rPr>
        <w:t>2023年1月1日至</w:t>
      </w:r>
      <w:r>
        <w:rPr>
          <w:rFonts w:ascii="仿宋" w:hAnsi="仿宋" w:eastAsia="仿宋" w:cs="仿宋"/>
          <w:position w:val="10"/>
          <w:sz w:val="32"/>
          <w:szCs w:val="32"/>
        </w:rPr>
        <w:t>2023年12月</w:t>
      </w:r>
      <w:r>
        <w:rPr>
          <w:rFonts w:hint="eastAsia" w:ascii="仿宋" w:hAnsi="仿宋" w:eastAsia="仿宋" w:cs="仿宋"/>
          <w:position w:val="10"/>
          <w:sz w:val="32"/>
          <w:szCs w:val="32"/>
          <w:lang w:val="en-US" w:eastAsia="zh-CN"/>
        </w:rPr>
        <w:t>31日</w:t>
      </w:r>
      <w:r>
        <w:rPr>
          <w:rFonts w:ascii="仿宋" w:hAnsi="仿宋" w:eastAsia="仿宋" w:cs="仿宋"/>
          <w:position w:val="10"/>
          <w:sz w:val="32"/>
          <w:szCs w:val="32"/>
        </w:rPr>
        <w:t>。</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八、关于皮山县国有林场服务中心2023年政府性基金预算拨款情况说明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皮山县国有林场服务中心2023年没有使用政府性基金预算拨款安排的支出，政府性基金预算支出情况表为空表。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九、关于皮山县国有林场服务中心2023年国有资本经营预算拨款情况说明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皮山县国有林场服务中心2023年没有使用国有资本经营预算拨款安排的支出，国有资本经营预算支出情况表为空表。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十、关于皮山县国有林场服务中心2023年财政拨款“三公”经费预算情况说明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皮山县国有林场服务中心2023年财政拨款“三公”经费数为0万元，其中：因公出国（境）费0万元，公务用车购置费0万元，公务用车运行费0万元，公务接待费0万元。</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2023年财政拨款“三公”经费比上年预算增加0万元，增长0%，其中：</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因公出国（境）费增加0万元，增长0%，主要原因是无。公务用车购置费增加0万元，增长0%，主要原因是无。公务用车运行费增加0万元，增长0%，主要原因是无。公务接待费增加0万元，增长0%，主要原因是无。</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sz w:val="32"/>
          <w:szCs w:val="32"/>
        </w:rPr>
      </w:pPr>
      <w:r>
        <w:rPr>
          <w:rFonts w:ascii="黑体" w:hAnsi="黑体" w:eastAsia="黑体" w:cs="黑体"/>
          <w:position w:val="20"/>
          <w:sz w:val="32"/>
          <w:szCs w:val="32"/>
        </w:rPr>
        <w:t>十一、其他重要事项的情况说明</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（一）机关运行经费情况</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2023年，皮山县国有林场服务中心本级及下属0家行政单位和0家事业单位的机关运行经费财政拨款预算3.6万元，比上年预算减少0.4万元，下降10%。主要原因是节约办公，严格遵守中央八项规定相关要求。</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（二）政府采购情况</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2023年，皮山县国有林场服务中心政府采购预算0万元，其中：政府采购货物预算0万元，政府采购工程预算0万元，政府采购服务预算0万元。</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2023年度本单位面向中小企业预留政府采购项目预算金额0万元，其中：面向小微企业预留政府采购项目预算金额0万元。</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（三）国有资产占用使用情况</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截至2022年底，皮山县国有林场服务中心及下属各预算单位占用使用国有资产总体情况为</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1.房屋0平方米，价值0万元。</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2.车辆0辆，价值0.00万元；其中：一般公务用车0辆，价值0万元；执法执勤用车0辆，价值0万元；其他车辆0辆，价值0万元。</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3.办公家具价值0万元。</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4.其他资产价值0万元。</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单位价值50万元以上大型设备0台，单位价值100万元以上大型设备0台。</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2023年单位预算安排购置车辆经费0万元，安排购置50万元以上大型设备0台，单位价值100万元以上大型设备0台。</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（四）预算绩效情况</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2023年，本年度预算绩效管理的财政拨款项目0个，涉及预算金额0万元；非财政拨款项目0个，涉及预算金额0万元。</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（五）其他需说明的事项</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position w:val="10"/>
          <w:sz w:val="32"/>
          <w:szCs w:val="32"/>
        </w:rPr>
        <w:t>无其他需要说明的事项。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sz w:val="32"/>
          <w:szCs w:val="32"/>
        </w:rPr>
      </w:pPr>
      <w:r>
        <w:rPr>
          <w:sz w:val="32"/>
          <w:szCs w:val="32"/>
        </w:rPr>
        <w:br w:type="textWrapping"/>
      </w:r>
    </w:p>
    <w:p>
      <w:pPr>
        <w:rPr>
          <w:rFonts w:ascii="黑体" w:hAnsi="黑体" w:eastAsia="黑体" w:cs="黑体"/>
          <w:position w:val="30"/>
          <w:sz w:val="32"/>
          <w:szCs w:val="32"/>
        </w:rPr>
      </w:pPr>
      <w:r>
        <w:rPr>
          <w:rFonts w:ascii="黑体" w:hAnsi="黑体" w:eastAsia="黑体" w:cs="黑体"/>
          <w:position w:val="30"/>
          <w:sz w:val="32"/>
          <w:szCs w:val="32"/>
        </w:rPr>
        <w:br w:type="page"/>
      </w:r>
    </w:p>
    <w:p>
      <w:pPr>
        <w:keepNext w:val="0"/>
        <w:keepLines w:val="0"/>
        <w:pageBreakBefore w:val="0"/>
        <w:widowControl w:val="0"/>
        <w:kinsoku/>
        <w:wordWrap/>
        <w:overflowPunct/>
        <w:topLinePunct w:val="0"/>
        <w:autoSpaceDE/>
        <w:autoSpaceDN/>
        <w:bidi w:val="0"/>
        <w:adjustRightInd/>
        <w:snapToGrid/>
        <w:spacing w:line="240" w:lineRule="auto"/>
        <w:ind w:left="200" w:right="200" w:firstLine="500"/>
        <w:jc w:val="center"/>
        <w:textAlignment w:val="auto"/>
        <w:outlineLvl w:val="9"/>
        <w:rPr>
          <w:sz w:val="40"/>
          <w:szCs w:val="40"/>
        </w:rPr>
      </w:pPr>
      <w:r>
        <w:rPr>
          <w:rFonts w:ascii="黑体" w:hAnsi="黑体" w:eastAsia="黑体" w:cs="黑体"/>
          <w:position w:val="30"/>
          <w:sz w:val="40"/>
          <w:szCs w:val="40"/>
        </w:rPr>
        <w:t>第四部分名词解释</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b/>
          <w:bCs/>
          <w:position w:val="10"/>
          <w:sz w:val="32"/>
          <w:szCs w:val="32"/>
        </w:rPr>
        <w:t>一、财政拨款：</w:t>
      </w:r>
      <w:r>
        <w:rPr>
          <w:rFonts w:ascii="仿宋" w:hAnsi="仿宋" w:eastAsia="仿宋" w:cs="仿宋"/>
          <w:position w:val="10"/>
          <w:sz w:val="32"/>
          <w:szCs w:val="32"/>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b/>
          <w:bCs/>
          <w:position w:val="10"/>
          <w:sz w:val="32"/>
          <w:szCs w:val="32"/>
        </w:rPr>
        <w:t>二、一般公共预算：</w:t>
      </w:r>
      <w:r>
        <w:rPr>
          <w:rFonts w:ascii="仿宋" w:hAnsi="仿宋" w:eastAsia="仿宋" w:cs="仿宋"/>
          <w:position w:val="10"/>
          <w:sz w:val="32"/>
          <w:szCs w:val="32"/>
        </w:rPr>
        <w:t>包括公共财政拨款（补助）资金、专项收入。</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b/>
          <w:bCs/>
          <w:position w:val="10"/>
          <w:sz w:val="32"/>
          <w:szCs w:val="32"/>
        </w:rPr>
        <w:t>三、财政专户管理资</w:t>
      </w:r>
      <w:r>
        <w:rPr>
          <w:rFonts w:ascii="仿宋" w:hAnsi="仿宋" w:eastAsia="仿宋" w:cs="仿宋"/>
          <w:position w:val="10"/>
          <w:sz w:val="32"/>
          <w:szCs w:val="32"/>
        </w:rPr>
        <w:t>金：包括专户管理行政事业性收费（主要是教育收费）、其他非税收入。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b/>
          <w:bCs/>
          <w:position w:val="10"/>
          <w:sz w:val="32"/>
          <w:szCs w:val="32"/>
        </w:rPr>
        <w:t>四、其他资金：</w:t>
      </w:r>
      <w:r>
        <w:rPr>
          <w:rFonts w:ascii="仿宋" w:hAnsi="仿宋" w:eastAsia="仿宋" w:cs="仿宋"/>
          <w:position w:val="10"/>
          <w:sz w:val="32"/>
          <w:szCs w:val="32"/>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b/>
          <w:bCs/>
          <w:position w:val="10"/>
          <w:sz w:val="32"/>
          <w:szCs w:val="32"/>
        </w:rPr>
        <w:t>五、基本支出：</w:t>
      </w:r>
      <w:r>
        <w:rPr>
          <w:rFonts w:ascii="仿宋" w:hAnsi="仿宋" w:eastAsia="仿宋" w:cs="仿宋"/>
          <w:position w:val="10"/>
          <w:sz w:val="32"/>
          <w:szCs w:val="32"/>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b/>
          <w:bCs/>
          <w:position w:val="10"/>
          <w:sz w:val="32"/>
          <w:szCs w:val="32"/>
        </w:rPr>
        <w:t>六、项目支出：</w:t>
      </w:r>
      <w:r>
        <w:rPr>
          <w:rFonts w:ascii="仿宋" w:hAnsi="仿宋" w:eastAsia="仿宋" w:cs="仿宋"/>
          <w:position w:val="10"/>
          <w:sz w:val="32"/>
          <w:szCs w:val="32"/>
        </w:rPr>
        <w:t>部门（单位）支出预算的组成部分，是各部门（单位）为完成其特定的行政任务或事业发展目标，在基本支出预算之外编制的年度项目支出计划。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b/>
          <w:bCs/>
          <w:position w:val="10"/>
          <w:sz w:val="32"/>
          <w:szCs w:val="32"/>
        </w:rPr>
        <w:t>七、“三公”经费：</w:t>
      </w:r>
      <w:r>
        <w:rPr>
          <w:rFonts w:ascii="仿宋" w:hAnsi="仿宋" w:eastAsia="仿宋" w:cs="仿宋"/>
          <w:position w:val="10"/>
          <w:sz w:val="32"/>
          <w:szCs w:val="32"/>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both"/>
        <w:textAlignment w:val="auto"/>
        <w:outlineLvl w:val="9"/>
        <w:rPr>
          <w:sz w:val="32"/>
          <w:szCs w:val="32"/>
        </w:rPr>
      </w:pPr>
      <w:r>
        <w:rPr>
          <w:rFonts w:ascii="仿宋" w:hAnsi="仿宋" w:eastAsia="仿宋" w:cs="仿宋"/>
          <w:b/>
          <w:bCs/>
          <w:position w:val="10"/>
          <w:sz w:val="32"/>
          <w:szCs w:val="32"/>
        </w:rPr>
        <w:t>八、机关运行经费：</w:t>
      </w:r>
      <w:r>
        <w:rPr>
          <w:rFonts w:ascii="仿宋" w:hAnsi="仿宋" w:eastAsia="仿宋" w:cs="仿宋"/>
          <w:position w:val="10"/>
          <w:sz w:val="32"/>
          <w:szCs w:val="32"/>
        </w:rPr>
        <w:t>指各部门（单位）的公用经费，包括办公及印刷费、邮电费、差旅费、会议费、福利费、日常维修费、专用材料及一般设备购置费、办公用房水电费、办公用房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2250" w:line="560" w:lineRule="exact"/>
        <w:ind w:left="200" w:right="200" w:firstLine="500"/>
        <w:jc w:val="right"/>
        <w:textAlignment w:val="auto"/>
        <w:outlineLvl w:val="9"/>
        <w:rPr>
          <w:sz w:val="32"/>
          <w:szCs w:val="32"/>
        </w:rPr>
      </w:pPr>
      <w:r>
        <w:rPr>
          <w:rFonts w:ascii="仿宋" w:hAnsi="仿宋" w:eastAsia="仿宋" w:cs="仿宋"/>
          <w:position w:val="10"/>
          <w:sz w:val="32"/>
          <w:szCs w:val="32"/>
        </w:rPr>
        <w:t>皮山县国有林场服务中心</w:t>
      </w:r>
    </w:p>
    <w:p>
      <w:pPr>
        <w:keepNext w:val="0"/>
        <w:keepLines w:val="0"/>
        <w:pageBreakBefore w:val="0"/>
        <w:widowControl w:val="0"/>
        <w:kinsoku/>
        <w:wordWrap/>
        <w:overflowPunct/>
        <w:topLinePunct w:val="0"/>
        <w:autoSpaceDE/>
        <w:autoSpaceDN/>
        <w:bidi w:val="0"/>
        <w:adjustRightInd/>
        <w:snapToGrid/>
        <w:spacing w:line="560" w:lineRule="exact"/>
        <w:ind w:left="200" w:right="200" w:firstLine="500"/>
        <w:jc w:val="right"/>
        <w:textAlignment w:val="auto"/>
        <w:outlineLvl w:val="9"/>
        <w:rPr>
          <w:sz w:val="32"/>
          <w:szCs w:val="32"/>
        </w:rPr>
      </w:pPr>
      <w:r>
        <w:rPr>
          <w:rFonts w:ascii="仿宋" w:hAnsi="仿宋" w:eastAsia="仿宋" w:cs="仿宋"/>
          <w:position w:val="10"/>
          <w:sz w:val="32"/>
          <w:szCs w:val="32"/>
        </w:rPr>
        <w:t>2023年</w:t>
      </w:r>
      <w:r>
        <w:rPr>
          <w:rFonts w:hint="eastAsia" w:ascii="仿宋" w:hAnsi="仿宋" w:eastAsia="仿宋" w:cs="仿宋"/>
          <w:position w:val="10"/>
          <w:sz w:val="32"/>
          <w:szCs w:val="32"/>
          <w:lang w:val="en-US" w:eastAsia="zh-CN"/>
        </w:rPr>
        <w:t>1</w:t>
      </w:r>
      <w:bookmarkStart w:id="0" w:name="_GoBack"/>
      <w:bookmarkEnd w:id="0"/>
      <w:r>
        <w:rPr>
          <w:rFonts w:ascii="仿宋" w:hAnsi="仿宋" w:eastAsia="仿宋" w:cs="仿宋"/>
          <w:position w:val="10"/>
          <w:sz w:val="32"/>
          <w:szCs w:val="32"/>
        </w:rPr>
        <w:t>月</w:t>
      </w:r>
      <w:r>
        <w:rPr>
          <w:rFonts w:hint="eastAsia" w:ascii="仿宋" w:hAnsi="仿宋" w:eastAsia="仿宋" w:cs="仿宋"/>
          <w:position w:val="10"/>
          <w:sz w:val="32"/>
          <w:szCs w:val="32"/>
          <w:lang w:val="en-US" w:eastAsia="zh-CN"/>
        </w:rPr>
        <w:t>18</w:t>
      </w:r>
      <w:r>
        <w:rPr>
          <w:rFonts w:ascii="仿宋" w:hAnsi="仿宋" w:eastAsia="仿宋" w:cs="仿宋"/>
          <w:position w:val="10"/>
          <w:sz w:val="32"/>
          <w:szCs w:val="32"/>
        </w:rPr>
        <w:t>日</w:t>
      </w:r>
    </w:p>
    <w:sectPr>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C51FB2"/>
    <w:rsid w:val="10C408B7"/>
    <w:rsid w:val="11283E41"/>
    <w:rsid w:val="126D138E"/>
    <w:rsid w:val="1AA50C6C"/>
    <w:rsid w:val="209D1B65"/>
    <w:rsid w:val="213F5CF6"/>
    <w:rsid w:val="25630AC5"/>
    <w:rsid w:val="2C3D157D"/>
    <w:rsid w:val="36305B54"/>
    <w:rsid w:val="44AD1265"/>
    <w:rsid w:val="57791A15"/>
    <w:rsid w:val="59F21598"/>
    <w:rsid w:val="5CB85C4D"/>
    <w:rsid w:val="70207C20"/>
    <w:rsid w:val="70A7589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customStyle="1" w:styleId="4">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26</Pages>
  <Words>3087</Words>
  <Characters>3810</Characters>
  <TotalTime>4</TotalTime>
  <ScaleCrop>false</ScaleCrop>
  <LinksUpToDate>false</LinksUpToDate>
  <CharactersWithSpaces>4202</CharactersWithSpaces>
  <Application>WPS Office_10.8.2.6837_F1E327BC-269C-435d-A152-05C5408002CA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2023-04-28T10:41:00Z</dcterms:created>
  <dc:creator>Apache POI</dc:creator>
  <cp:lastModifiedBy>Administrator</cp:lastModifiedBy>
  <cp:lastPrinted>2025-06-20T09:48:00Z</cp:lastPrinted>
  <dcterms:modified xsi:type="dcterms:W3CDTF">2025-07-23T08:06:42Z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y fmtid="{D5CDD505-2E9C-101B-9397-08002B2CF9AE}" pid="3" name="KSOTemplateDocerSaveRecord">
    <vt:lpwstr>eyJoZGlkIjoiZmJiYzM4NGMxNTU2MDViMDQzMzBjNGQ5NThlMWYxNDciLCJ1c2VySWQiOiI5NTc2ODg5MzgifQ==</vt:lpwstr>
  </property>
  <property fmtid="{D5CDD505-2E9C-101B-9397-08002B2CF9AE}" pid="4" name="ICV">
    <vt:lpwstr>85591416A88B4C72A87F98F203300438_12</vt:lpwstr>
  </property>
</Properties>
</file>