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t>皮山县乡村振兴局</w:t>
      </w:r>
    </w:p>
    <w:p>
      <w:pPr>
        <w:spacing w:before="150"/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t>2023年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</w:t>
      </w:r>
    </w:p>
    <w:p>
      <w:r>
        <w:br w:type="page"/>
      </w:r>
    </w:p>
    <w:p>
      <w:pPr>
        <w:jc w:val="center"/>
      </w:pPr>
      <w:r>
        <w:rPr>
          <w:rFonts w:ascii="黑体" w:hAnsi="黑体" w:eastAsia="黑体" w:cs="黑体"/>
          <w:position w:val="30"/>
          <w:sz w:val="42"/>
        </w:rPr>
        <w:t>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第一部分</w:t>
      </w:r>
      <w:r>
        <w:rPr>
          <w:rFonts w:hint="eastAsia" w:ascii="黑体" w:hAnsi="黑体" w:eastAsia="黑体" w:cs="黑体"/>
          <w:position w:val="15"/>
          <w:sz w:val="32"/>
          <w:szCs w:val="32"/>
          <w:lang w:val="en-US" w:eastAsia="zh-CN"/>
        </w:rPr>
        <w:t xml:space="preserve">  2023年部门</w:t>
      </w:r>
      <w:r>
        <w:rPr>
          <w:rFonts w:ascii="黑体" w:hAnsi="黑体" w:eastAsia="黑体" w:cs="黑体"/>
          <w:position w:val="15"/>
          <w:sz w:val="32"/>
          <w:szCs w:val="3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第二部分</w:t>
      </w:r>
      <w:r>
        <w:rPr>
          <w:rFonts w:hint="eastAsia" w:ascii="黑体" w:hAnsi="黑体" w:eastAsia="黑体" w:cs="黑体"/>
          <w:position w:val="15"/>
          <w:sz w:val="32"/>
          <w:szCs w:val="32"/>
          <w:lang w:val="en-US" w:eastAsia="zh-CN"/>
        </w:rPr>
        <w:t xml:space="preserve">  </w:t>
      </w:r>
      <w:r>
        <w:rPr>
          <w:rFonts w:ascii="黑体" w:hAnsi="黑体" w:eastAsia="黑体" w:cs="黑体"/>
          <w:position w:val="15"/>
          <w:sz w:val="32"/>
          <w:szCs w:val="32"/>
        </w:rPr>
        <w:t>2023年</w:t>
      </w:r>
      <w:r>
        <w:rPr>
          <w:rFonts w:hint="eastAsia" w:ascii="黑体" w:hAnsi="黑体" w:eastAsia="黑体" w:cs="黑体"/>
          <w:position w:val="15"/>
          <w:sz w:val="32"/>
          <w:szCs w:val="32"/>
          <w:lang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一、皮山县乡村振兴局收支总体情况表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二、皮山县乡村振兴局收入总体情况表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三、皮山县乡村振兴局支出总体情况表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第三部分</w:t>
      </w:r>
      <w:r>
        <w:rPr>
          <w:rFonts w:hint="eastAsia" w:ascii="黑体" w:hAnsi="黑体" w:eastAsia="黑体" w:cs="黑体"/>
          <w:position w:val="15"/>
          <w:sz w:val="32"/>
          <w:szCs w:val="32"/>
          <w:lang w:val="en-US" w:eastAsia="zh-CN"/>
        </w:rPr>
        <w:t xml:space="preserve">  </w:t>
      </w:r>
      <w:r>
        <w:rPr>
          <w:rFonts w:ascii="黑体" w:hAnsi="黑体" w:eastAsia="黑体" w:cs="黑体"/>
          <w:position w:val="15"/>
          <w:sz w:val="32"/>
          <w:szCs w:val="32"/>
        </w:rPr>
        <w:t>2023年皮山县乡村振兴局预算情况说明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一、关于皮山县乡村振兴局2023年收支预算情况的总体说明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二、关于皮山县乡村振兴局2023年收入预算情况说明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三、关于皮山县乡村振兴局2023年支出预算情况说明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四、关于皮山县乡村振兴局2023年财政拨款收支预算情况的总体说明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五、关于皮山县乡村振兴局2023年一般公共预算当年拨款情况说明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六、关于皮山县乡村振兴局2023年一般公共预算基本支出情况说明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七、关于皮山县乡村振兴局2023年一般公共预算项目支出情况说明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八、关于皮山县乡村振兴局2023年政府性基金预算拨款情况说明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九、关于皮山县乡村振兴局2023年国有资本经营预算拨款情况说明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十、关于皮山县乡村振兴局2023年财政拨款“三公”经费预算情况说明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第四部分名词解释</w:t>
      </w:r>
    </w:p>
    <w:p>
      <w:r>
        <w:br w:type="textWrapping"/>
      </w: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第一部分</w:t>
      </w:r>
      <w:r>
        <w:rPr>
          <w:rFonts w:hint="eastAsia" w:ascii="黑体" w:hAnsi="黑体" w:eastAsia="黑体" w:cs="黑体"/>
          <w:position w:val="30"/>
          <w:sz w:val="42"/>
          <w:lang w:val="en-US" w:eastAsia="zh-CN"/>
        </w:rPr>
        <w:t xml:space="preserve">  2023年部门</w:t>
      </w:r>
      <w:r>
        <w:rPr>
          <w:rFonts w:ascii="黑体" w:hAnsi="黑体" w:eastAsia="黑体" w:cs="黑体"/>
          <w:position w:val="30"/>
          <w:sz w:val="4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（一）贯彻落实国家和自治区有关扶贫开发的法律法规，组织、协调、指导全县脱贫攻坚工作，组织实施精准识别、精准扶贫、精准脱贫、精准帮扶、精确管理。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（二）拟定全县扶贫开发规划和年度实施计划，并组织实施。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（三）会同有关部门拟定扶贫资金、扶贫项目分配方案，指导、检查、监督扶贫资金使用和管理。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（四）组织开展扶贫信息体系建设，组织对扶贫开发情况进行统计和动态监测。协调社会各界扶贫工作，协调各级党政机关及社会各界参与扶贫开发工作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（五）负责指导贫困人口培训、职业教育、就业和劳动力转移工作。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（六）会同有关部门做好扶贫政策，扶志扶智等宣传工作。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（七）承办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皮山</w:t>
      </w:r>
      <w:r>
        <w:rPr>
          <w:rFonts w:ascii="仿宋" w:hAnsi="仿宋" w:eastAsia="仿宋" w:cs="仿宋"/>
          <w:position w:val="10"/>
          <w:sz w:val="32"/>
          <w:szCs w:val="32"/>
        </w:rPr>
        <w:t>县委、县政府交办的其他工作。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皮山县乡村振兴局无下属预算单位，下设7个科室，分别是：综合办公室、整改办公室、数据办公室、改厕办公室、项目办公室、财务办公室、后勤保障办公室。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皮山县乡村振兴局单位编制数31，实有人数31人，其中：在职28人，增加0人；退休3人，减少0人；离休0人，增加0人。</w:t>
      </w:r>
    </w:p>
    <w:p>
      <w:pPr>
        <w:rPr>
          <w:rFonts w:hint="eastAsia" w:ascii="黑体" w:hAnsi="黑体" w:eastAsia="黑体" w:cs="黑体"/>
          <w:position w:val="30"/>
          <w:sz w:val="42"/>
          <w:lang w:eastAsia="zh-CN"/>
        </w:rPr>
      </w:pPr>
      <w:r>
        <w:rPr>
          <w:rFonts w:hint="eastAsia" w:ascii="黑体" w:hAnsi="黑体" w:eastAsia="黑体" w:cs="黑体"/>
          <w:position w:val="30"/>
          <w:sz w:val="42"/>
          <w:lang w:eastAsia="zh-CN"/>
        </w:rPr>
        <w:br w:type="page"/>
      </w:r>
    </w:p>
    <w:p>
      <w:pPr>
        <w:jc w:val="center"/>
        <w:rPr>
          <w:rFonts w:ascii="黑体" w:hAnsi="黑体" w:eastAsia="黑体" w:cs="黑体"/>
          <w:position w:val="30"/>
          <w:sz w:val="42"/>
        </w:rPr>
      </w:pPr>
      <w:r>
        <w:rPr>
          <w:rFonts w:hint="eastAsia" w:ascii="黑体" w:hAnsi="黑体" w:eastAsia="黑体" w:cs="黑体"/>
          <w:position w:val="30"/>
          <w:sz w:val="42"/>
          <w:lang w:eastAsia="zh-CN"/>
        </w:rPr>
        <w:t>第二部分</w:t>
      </w:r>
      <w:r>
        <w:rPr>
          <w:rFonts w:hint="eastAsia" w:ascii="黑体" w:hAnsi="黑体" w:eastAsia="黑体" w:cs="黑体"/>
          <w:position w:val="30"/>
          <w:sz w:val="42"/>
          <w:lang w:val="en-US" w:eastAsia="zh-CN"/>
        </w:rPr>
        <w:t xml:space="preserve">  </w:t>
      </w:r>
      <w:r>
        <w:rPr>
          <w:rFonts w:ascii="黑体" w:hAnsi="黑体" w:eastAsia="黑体" w:cs="黑体"/>
          <w:position w:val="30"/>
          <w:sz w:val="42"/>
        </w:rPr>
        <w:t>2023年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预算公开表</w:t>
      </w:r>
    </w:p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2905"/>
        <w:gridCol w:w="1295"/>
        <w:gridCol w:w="3085"/>
        <w:gridCol w:w="111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：皮山县乡村振兴局</w:t>
            </w:r>
          </w:p>
        </w:tc>
        <w:tc>
          <w:tcPr>
            <w:tcW w:w="42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收入</w:t>
            </w:r>
          </w:p>
        </w:tc>
        <w:tc>
          <w:tcPr>
            <w:tcW w:w="4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783.97</w:t>
            </w: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201一般公共服务支出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783.97</w:t>
            </w: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202外交支出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783.97</w:t>
            </w: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203国防支出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204公共安全支出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205教育支出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其中：政府性基金收入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206科学技术支出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上级政府性基金安排转移支付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207文化旅游体育与传媒支出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208社会保障和就业支出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209社会保险基金支出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210卫生健康支出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211节能环保支出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5.单位资金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212城乡社区支出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213农林水支出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722.83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214交通运输支出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附属单位上缴收入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215资源勘探工业信息等支出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事业单位经营收入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216商业服务业等支出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217金融支出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28.1</w:t>
            </w: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219援助其他地区支出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28.1</w:t>
            </w: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220自然资源海洋气象等支出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28.1</w:t>
            </w: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221住房保障支出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222粮油物资储备支出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223国有资本经营预算支出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224灾害防治及应急管理支出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227预备费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单位资金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229其他支出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12.68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230转移性支出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231债务还本支出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232债务付息支出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233债务发行费用支出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234抗疫特别国债安排的支出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9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收入总计</w:t>
            </w:r>
          </w:p>
        </w:tc>
        <w:tc>
          <w:tcPr>
            <w:tcW w:w="12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812.07</w:t>
            </w:r>
          </w:p>
        </w:tc>
        <w:tc>
          <w:tcPr>
            <w:tcW w:w="30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支出总计</w:t>
            </w:r>
          </w:p>
        </w:tc>
        <w:tc>
          <w:tcPr>
            <w:tcW w:w="11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812.07</w:t>
            </w:r>
          </w:p>
        </w:tc>
      </w:tr>
    </w:tbl>
    <w:p>
      <w:r>
        <w:br w:type="textWrapping"/>
      </w:r>
    </w:p>
    <w:p/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70"/>
        <w:gridCol w:w="315"/>
        <w:gridCol w:w="255"/>
        <w:gridCol w:w="1160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收入总体情况表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：皮山县乡村振兴局</w:t>
            </w:r>
          </w:p>
        </w:tc>
        <w:tc>
          <w:tcPr>
            <w:tcW w:w="420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8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功能分类编码</w:t>
            </w:r>
          </w:p>
        </w:tc>
        <w:tc>
          <w:tcPr>
            <w:tcW w:w="141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总计</w:t>
            </w:r>
          </w:p>
        </w:tc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</w:t>
            </w:r>
          </w:p>
        </w:tc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财政专户（教育收费）</w:t>
            </w:r>
          </w:p>
        </w:tc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单位资金</w:t>
            </w:r>
          </w:p>
        </w:tc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财政拨款结转</w:t>
            </w:r>
          </w:p>
        </w:tc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160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财政拨款（补助）小计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上级政府性基金安排的转移支付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3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1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51.04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51.04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51.04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3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1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25.52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25.52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25.52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3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722.83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707.41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707.41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3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巩固脱贫攻坚成果衔接乡村振兴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722.83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707.41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707.41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3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1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457.41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457.41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457.41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3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1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一般行政管理事务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3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1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生产发展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260.42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10.42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3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12.68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12.68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3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12.68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12.68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3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1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12.68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12.68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3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812.07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783.97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783.97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28.10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p/>
    <w:p/>
    <w:p/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支出总体情况表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：皮山县乡村振兴局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51.04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51.04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25.52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25.52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722.83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457.41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265.42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巩固脱贫攻坚成果衔接乡村振兴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722.83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457.41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265.42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457.41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457.41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一般行政管理事务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生产发展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260.42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260.42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12.68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12.68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12.68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12.68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12.68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12.68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812.07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533.97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278.10</w:t>
            </w:r>
          </w:p>
        </w:tc>
      </w:tr>
    </w:tbl>
    <w:p>
      <w:r>
        <w:br w:type="textWrapping"/>
      </w:r>
    </w:p>
    <w:p/>
    <w:p/>
    <w:p/>
    <w:p/>
    <w:p/>
    <w:p/>
    <w:p/>
    <w:p/>
    <w:p/>
    <w:p/>
    <w:p/>
    <w:p/>
    <w:p/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615"/>
        <w:gridCol w:w="785"/>
        <w:gridCol w:w="2830"/>
        <w:gridCol w:w="600"/>
        <w:gridCol w:w="600"/>
        <w:gridCol w:w="990"/>
        <w:gridCol w:w="98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：皮山县乡村振兴局</w:t>
            </w:r>
          </w:p>
        </w:tc>
        <w:tc>
          <w:tcPr>
            <w:tcW w:w="317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3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财政拨款收入</w:t>
            </w:r>
          </w:p>
        </w:tc>
        <w:tc>
          <w:tcPr>
            <w:tcW w:w="317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783.97</w:t>
            </w: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201一般公共服务支出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一般公共预算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783.97</w:t>
            </w: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202外交支出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政府性基金预算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203国防支出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204公共安全支出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205教育支出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206科学技术支出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207文化旅游体育与传媒支出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208社会保障和就业支出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209社会保险基金支出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210卫生健康支出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211节能环保支出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212城乡社区支出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213农林水支出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707.41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707.41</w:t>
            </w: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214交通运输支出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215资源勘探工业信息等支出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216商业服务业等支出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217金融支出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219援助其他地区支出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220自然资源海洋气象等支出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221住房保障支出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222粮油物资储备支出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223国有资本经营预算支出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224灾害防治及应急管理支出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227预备费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229其他支出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230转移性支出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231债务还本支出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232债务付息支出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233债务发行费用支出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234抗疫特别国债安排的支出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收入总计</w:t>
            </w:r>
          </w:p>
        </w:tc>
        <w:tc>
          <w:tcPr>
            <w:tcW w:w="7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783.97</w:t>
            </w:r>
          </w:p>
        </w:tc>
        <w:tc>
          <w:tcPr>
            <w:tcW w:w="2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支出总计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783.97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783.97</w:t>
            </w:r>
          </w:p>
        </w:tc>
        <w:tc>
          <w:tcPr>
            <w:tcW w:w="9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：皮山县乡村振兴局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76.56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51.04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51.04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25.52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25.52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707.41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457.41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巩固脱贫攻坚成果衔接乡村振兴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707.41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457.41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457.41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457.41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生产发展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783.97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533.97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250.00</w:t>
            </w:r>
          </w:p>
        </w:tc>
      </w:tr>
    </w:tbl>
    <w:p>
      <w:r>
        <w:br w:type="textWrapping"/>
      </w:r>
    </w:p>
    <w:p/>
    <w:p/>
    <w:p/>
    <w:p/>
    <w:p/>
    <w:p/>
    <w:p/>
    <w:p/>
    <w:p/>
    <w:p/>
    <w:p/>
    <w:p/>
    <w:p/>
    <w:p/>
    <w:p/>
    <w:p/>
    <w:p/>
    <w:p/>
    <w:p/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400"/>
        <w:gridCol w:w="280"/>
        <w:gridCol w:w="1120"/>
        <w:gridCol w:w="560"/>
        <w:gridCol w:w="840"/>
        <w:gridCol w:w="840"/>
        <w:gridCol w:w="560"/>
        <w:gridCol w:w="1120"/>
        <w:gridCol w:w="280"/>
        <w:gridCol w:w="14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：皮山县乡村振兴局</w:t>
            </w:r>
          </w:p>
        </w:tc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经济分类科目名称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人员经费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504.42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504.42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112.63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112.63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151.1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151.1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39.8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39.8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52.45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52.45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51.04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51.04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25.52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25.52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20.74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20.74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公务员医疗补助缴费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5.18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5.18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5.55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5.55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38.28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38.28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其他工资福利支出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2.13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2.13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商品和服务支出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24.23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3.35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20.88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办公费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取暖费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5.83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3.35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2.48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公务用车运行维护费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6.00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对个人和家庭的补助支出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5.32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5.32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退休费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5.29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5.29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奖励金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0.03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533.97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513.09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20.88</w:t>
            </w:r>
          </w:p>
        </w:tc>
      </w:tr>
    </w:tbl>
    <w:p/>
    <w:p/>
    <w:p/>
    <w:p/>
    <w:p/>
    <w:p/>
    <w:p>
      <w:r>
        <w:br w:type="textWrapping"/>
      </w:r>
    </w:p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：皮山县乡村振兴局</w:t>
            </w:r>
          </w:p>
        </w:tc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科目编码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项目支出合计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工资福利支出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商品和服务支出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对个人和家庭的补助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债务利息及费用支出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对社会保障基金补助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巩固脱贫攻坚成果衔接乡村振兴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生产发展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巩固拓展脱贫攻坚成果同乡村振兴有效衔接（县级配套项目资金）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250.00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p/>
    <w:p/>
    <w:p/>
    <w:p/>
    <w:p/>
    <w:p/>
    <w:p/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：皮山县乡村振兴局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皮山县乡村振兴局2023年没有使用政府性基金预算拨款安排的支出，政府性基金预算支出情况表为空表。</w:t>
            </w:r>
          </w:p>
        </w:tc>
      </w:tr>
    </w:tbl>
    <w:p>
      <w:r>
        <w:br w:type="textWrapping"/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：皮山县乡村振兴局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皮山县乡村振兴局2023年没有安排国有资本经营预算的支出，国有资本经营预算支出情况表为空表。</w:t>
            </w:r>
          </w:p>
        </w:tc>
      </w:tr>
    </w:tbl>
    <w:p>
      <w:r>
        <w:br w:type="textWrapping"/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5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680"/>
        <w:gridCol w:w="1120"/>
        <w:gridCol w:w="560"/>
        <w:gridCol w:w="840"/>
        <w:gridCol w:w="840"/>
        <w:gridCol w:w="560"/>
        <w:gridCol w:w="1120"/>
        <w:gridCol w:w="168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：皮山县乡村振兴局</w:t>
            </w:r>
          </w:p>
        </w:tc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8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jc w:val="both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三公支出内容</w:t>
            </w:r>
          </w:p>
        </w:tc>
        <w:tc>
          <w:tcPr>
            <w:tcW w:w="280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28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vMerge w:val="continue"/>
          </w:tcPr>
          <w:p/>
        </w:tc>
        <w:tc>
          <w:tcPr>
            <w:tcW w:w="1680" w:type="dxa"/>
            <w:gridSpan w:val="2"/>
            <w:vMerge w:val="continue"/>
          </w:tcPr>
          <w:p/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因公出国(境)费用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公务接待费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公务用车购置及运行费（小计）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其中：公务用车购置费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公务用车运行费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right="200"/>
        <w:jc w:val="both"/>
        <w:rPr>
          <w:rFonts w:ascii="黑体" w:hAnsi="黑体" w:eastAsia="黑体" w:cs="黑体"/>
          <w:position w:val="30"/>
          <w:sz w:val="42"/>
        </w:rPr>
      </w:pPr>
    </w:p>
    <w:p>
      <w:pPr>
        <w:ind w:right="200"/>
        <w:jc w:val="both"/>
        <w:rPr>
          <w:rFonts w:ascii="黑体" w:hAnsi="黑体" w:eastAsia="黑体" w:cs="黑体"/>
          <w:position w:val="30"/>
          <w:sz w:val="42"/>
        </w:rPr>
      </w:pPr>
    </w:p>
    <w:p>
      <w:pPr>
        <w:ind w:right="200"/>
        <w:jc w:val="center"/>
        <w:rPr>
          <w:rFonts w:ascii="黑体" w:hAnsi="黑体" w:eastAsia="黑体" w:cs="黑体"/>
          <w:position w:val="30"/>
          <w:sz w:val="42"/>
        </w:rPr>
      </w:pPr>
      <w:r>
        <w:rPr>
          <w:rFonts w:ascii="黑体" w:hAnsi="黑体" w:eastAsia="黑体" w:cs="黑体"/>
          <w:position w:val="30"/>
          <w:sz w:val="42"/>
        </w:rPr>
        <w:t>第三部分2023年皮山县乡村振兴局</w:t>
      </w:r>
    </w:p>
    <w:p>
      <w:pPr>
        <w:ind w:right="200"/>
        <w:jc w:val="center"/>
      </w:pPr>
      <w:r>
        <w:rPr>
          <w:rFonts w:ascii="黑体" w:hAnsi="黑体" w:eastAsia="黑体" w:cs="黑体"/>
          <w:position w:val="30"/>
          <w:sz w:val="42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一、关于皮山县乡村振兴局2023年收支预算情况的总体说明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按照全口径预算的原则，皮山县乡村振兴局2023年所有收入和支出均纳入单位预算管理。收支总预算812.07万元。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收入预算包括：一般公共预算、财政拨款。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支出预算包括：社会保障和就业支出、农林水支出、其他支出。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二、关于皮山县乡村振兴局2023年收入预算情况说明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皮山县乡村振兴局收入预算812.07万元，其中：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一般公共预算783.97万元，占96.54%，比上年预算减少360.61万元，下降31.51%，主要原因是2023年做平衡预算，以收定支，因而2023年未做特定类项目。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上级一般公共预算安排的转移支付资金未安排。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财政拨款结转28.10万元，占3.46%，比上年预算增加28.10万元，增长100.00%，主要原因是2022年做预算时未将上年结转数纳入预算数，2023年做平衡预算将2022年财政拨款结转28.10万元纳入预算。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三、关于皮山县乡村振兴局2023年支出预算情况说明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皮山县乡村振兴局2023年支出预算812.07万元，其中：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基本支出533.97万元，占65.75%，比上年预算增加16.40万元，增长3.17%，主要原因是本年增加2人，减少1人，人员工资，社保，住房公积金等相应增加。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项目支出278.10万元，占34.25%，比上年预算减少348.91万元，下降55.65%，主要原因是2022年做预算时未将上年结转数纳入预算数，2023年做平衡预算将2022年财政拨款结转2278.10万元纳入预算。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四、关于皮山县乡村振兴局2023年财政拨款收支预算情况的总体说明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2023年财政拨款收支总预算783.97万元。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收入预算包括：一般公共预算拨款783.97万元。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一般公共预算支出包括：社会保障和就业支出76.56万元，主要用于主要用于机关事业，单位基本养老保险，职业年金缴费。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农林水支出707.41万元，主要用于小额信贷贴息资金。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五、关于皮山县乡村振兴局2023年一般公共预算当年拨款情况说明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皮山县乡村振兴局2023年一般公共预算拨款合计783.97万元，其中：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基本支出533.97万元，比上年预算增加16.40万元，增长3.17%。主要原因是：本年增加2人，减少1人，人员工资，社保，住房公积金等相应增加。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项目支出250万元，比上年预算减少377.01万元，下降60.13%。主要原因是：2023年做平衡预算，以收定支，因而2023年未做特定类项目。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1.社会保障和就业支出（类）76.56万元，占9.77%。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2.农林水支出（类）707.41万元，占90.23%。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社会保障和就业支出（类）行政事业单位养老支出（款）机关事业单位基本养老保险缴费支出（项）:2023年预算数为51.04万元，比上年预算数增加1.10万元，增长2.20%，主要原因是：本年增加2人，人员工资，社保，住房公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积金</w:t>
      </w:r>
      <w:r>
        <w:rPr>
          <w:rFonts w:ascii="仿宋" w:hAnsi="仿宋" w:eastAsia="仿宋" w:cs="仿宋"/>
          <w:position w:val="10"/>
          <w:sz w:val="32"/>
          <w:szCs w:val="32"/>
        </w:rPr>
        <w:t>，养老保险，职业年金等相应增加。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社会保障和就业支出（类）行政事业单位养老支出（款）机关事业单位职业年金缴费支出（项）:2023年预算数为25.52万元，比上年预算数增加0.55万元，增长2.20%，主要原因是：本年增加2人，机关，事业单位基本养老保险等相应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3.农林水支出（类）巩固脱贫攻坚成果衔接乡村振兴（款）行政运行（项）:2023年预算数为457.41万元，比上年预算数增加35.42万元，增长8.39%，主要原因是：为了巩固拓展脱贫攻坚，新增项目。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4.农林水支出（类）巩固脱贫攻坚成果衔接乡村振兴（款）生产发展（项）:2023年预算数为250万元，比上年预算数增加250.00万元，增长100.00%，主要原因是：未安排预算。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六、关于皮山县乡村振兴局2023年一般公共预算基本支出情况说明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皮山县乡村振兴局2023年一般公共预算基本支出533.97万元，其中：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人员经费513.09万元，主要包括：基本工资、津贴补贴、奖金、绩效工资、机关事业单位基本养老保险缴费、职业年金缴费、城镇职工基本医疗保险缴费、公务员医疗补助缴费、其他社会保障缴费、住房公积金、其他工资福利支出、取暖费、退休费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公用经费20.88万元，主要包括：办公费、取暖费、公务用车运行维护费。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七、关于皮山县乡村振兴局2023年一般公共预算项目支出情况说明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八、关于皮山县乡村振兴局2023年政府性基金预算拨款情况说明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皮山县乡村振兴局2023年没有使用政府性基金预算拨款安排的支出，政府性基金预算支出情况表为空表。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九、关于皮山县乡村振兴局2023年国有资本经营预算拨款情况说明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皮山县乡村振兴局2023年没有使用国有资本经营预算拨款安排的支出，国有资本经营预算支出情况表为空表。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十、关于皮山县乡村振兴局2023年财政拨款“三公”经费预算情况说明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皮山县乡村振兴局2023年财政拨款“三公”经费数为6万元，其中：因公出国（境）费0万元，公务用车购置费0万元，公务用车运行费6万元，公务接待费0万元。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2023年财政拨款“三公”经费比上年预算增加0万元，增长0%，其中：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因公出国（境）费增加0万元，增长0%，主要原因是未安排预算。公务用车购置费增加0万元，增长0%，主要原因是未安排预算。公务用车运行费增加0万元，增长0%，主要原因是2023年初预算上2.0系统，由于是新系统反复测试，最终生成预算数据为0，数据已生成无法撤回，致使同去年相比相差100%，后期通过科目调剂生成公务用车运行费6万元。公务接待费增加0万元，增长0%，主要原因是未安排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乡村振兴局本级及下属0家行政单位和0家事业单位的机关运行经费财政拨款预算0万元，比上年预算减少20.67万元，下降100%。主要原因是2023年初预算上2.0系统，由于是新系统反复测试，最终生成预算数据为0，数据已生成无法撤回，致使同去年相比相差100%，后期通过科目调剂生成运转费20.67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2023年，皮山县乡村振兴局政府采购预算0万元，其中：政府采购货物预算0万元，政府采购工程预算0万元，政府采购服务预算0万元。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2023年度本单位面向中小企业预留政府采购项目预算金额0万元，其中：面向小微企业预留政府采购项目预算金额0万元。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截至2022年底，皮山县乡村振兴局及下属各预算单位占用使用国有资产总体情况为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1.房屋0平方米，价值0万元。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2.车辆2辆，价值74.04万元；其中：一般公务用车2辆，价值74.04万元；执法执勤用车0辆，价值0万元；其他车辆0辆，价值0万元。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3.办公家具价值14.52万元。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4.其他资产价值113.16万元。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单位价值50万元以上大型设备0台，单位价值100万元以上大型设备0台。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2023年单位预算安排购置车辆经费0万元，安排购置50万元以上大型设备0台，单位价值100万元以上大型设备0台。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2023年，本年度预算绩效管理的财政拨款项目0个，涉及预算金额0万元；非财政拨款项目0个，涉及预算金额0万元。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无其他需要说明的事项。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sz w:val="32"/>
          <w:szCs w:val="32"/>
        </w:rPr>
      </w:pPr>
      <w:r>
        <w:rPr>
          <w:sz w:val="32"/>
          <w:szCs w:val="32"/>
        </w:rPr>
        <w:br w:type="textWrapping"/>
      </w:r>
    </w:p>
    <w:p>
      <w:pPr>
        <w:rPr>
          <w:rFonts w:ascii="黑体" w:hAnsi="黑体" w:eastAsia="黑体" w:cs="黑体"/>
          <w:position w:val="30"/>
          <w:sz w:val="32"/>
          <w:szCs w:val="32"/>
        </w:rPr>
      </w:pPr>
      <w:r>
        <w:rPr>
          <w:rFonts w:ascii="黑体" w:hAnsi="黑体" w:eastAsia="黑体" w:cs="黑体"/>
          <w:position w:val="30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00" w:right="200" w:firstLine="500"/>
        <w:jc w:val="center"/>
        <w:textAlignment w:val="auto"/>
        <w:outlineLvl w:val="9"/>
        <w:rPr>
          <w:sz w:val="40"/>
          <w:szCs w:val="40"/>
        </w:rPr>
      </w:pPr>
      <w:r>
        <w:rPr>
          <w:rFonts w:ascii="黑体" w:hAnsi="黑体" w:eastAsia="黑体" w:cs="黑体"/>
          <w:position w:val="30"/>
          <w:sz w:val="40"/>
          <w:szCs w:val="40"/>
        </w:rPr>
        <w:t>第四部分名词解释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一、财政拨款：</w:t>
      </w:r>
      <w:r>
        <w:rPr>
          <w:rFonts w:ascii="仿宋" w:hAnsi="仿宋" w:eastAsia="仿宋" w:cs="仿宋"/>
          <w:position w:val="1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二、一般公共预算：</w:t>
      </w:r>
      <w:r>
        <w:rPr>
          <w:rFonts w:ascii="仿宋" w:hAnsi="仿宋" w:eastAsia="仿宋" w:cs="仿宋"/>
          <w:position w:val="10"/>
          <w:sz w:val="32"/>
          <w:szCs w:val="32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三、财政专户管理资金：</w:t>
      </w:r>
      <w:r>
        <w:rPr>
          <w:rFonts w:ascii="仿宋" w:hAnsi="仿宋" w:eastAsia="仿宋" w:cs="仿宋"/>
          <w:position w:val="1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四、其他资金：</w:t>
      </w:r>
      <w:r>
        <w:rPr>
          <w:rFonts w:ascii="仿宋" w:hAnsi="仿宋" w:eastAsia="仿宋" w:cs="仿宋"/>
          <w:position w:val="1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五、基本支出：</w:t>
      </w:r>
      <w:r>
        <w:rPr>
          <w:rFonts w:ascii="仿宋" w:hAnsi="仿宋" w:eastAsia="仿宋" w:cs="仿宋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六、项目支出：</w:t>
      </w:r>
      <w:r>
        <w:rPr>
          <w:rFonts w:ascii="仿宋" w:hAnsi="仿宋" w:eastAsia="仿宋" w:cs="仿宋"/>
          <w:position w:val="1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七、“三公”经费：</w:t>
      </w:r>
      <w:r>
        <w:rPr>
          <w:rFonts w:ascii="仿宋" w:hAnsi="仿宋" w:eastAsia="仿宋" w:cs="仿宋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八、机关运行经费：</w:t>
      </w:r>
      <w:r>
        <w:rPr>
          <w:rFonts w:ascii="仿宋" w:hAnsi="仿宋" w:eastAsia="仿宋" w:cs="仿宋"/>
          <w:position w:val="10"/>
          <w:sz w:val="32"/>
          <w:szCs w:val="32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50" w:line="560" w:lineRule="exact"/>
        <w:ind w:left="200" w:right="200" w:firstLine="500"/>
        <w:jc w:val="right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皮山县乡村振兴局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right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</w:t>
      </w:r>
      <w:bookmarkStart w:id="0" w:name="_GoBack"/>
      <w:bookmarkEnd w:id="0"/>
      <w:r>
        <w:rPr>
          <w:rFonts w:ascii="仿宋" w:hAnsi="仿宋" w:eastAsia="仿宋" w:cs="仿宋"/>
          <w:position w:val="10"/>
          <w:sz w:val="32"/>
          <w:szCs w:val="32"/>
        </w:rPr>
        <w:t>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18</w:t>
      </w:r>
      <w:r>
        <w:rPr>
          <w:rFonts w:ascii="仿宋" w:hAnsi="仿宋" w:eastAsia="仿宋" w:cs="仿宋"/>
          <w:position w:val="10"/>
          <w:sz w:val="32"/>
          <w:szCs w:val="32"/>
        </w:rPr>
        <w:t>日</w:t>
      </w:r>
    </w:p>
    <w:sectPr>
      <w:footerReference r:id="rId3" w:type="default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—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11B2A"/>
    <w:rsid w:val="0A932043"/>
    <w:rsid w:val="28C92FA2"/>
    <w:rsid w:val="29607E5F"/>
    <w:rsid w:val="32D463D0"/>
    <w:rsid w:val="34BC689D"/>
    <w:rsid w:val="41214180"/>
    <w:rsid w:val="44316F05"/>
    <w:rsid w:val="483E263A"/>
    <w:rsid w:val="4F58333A"/>
    <w:rsid w:val="53A635AD"/>
    <w:rsid w:val="5768104B"/>
    <w:rsid w:val="615E0809"/>
    <w:rsid w:val="67FB3202"/>
    <w:rsid w:val="6B7446FE"/>
    <w:rsid w:val="7FD510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22</Pages>
  <Words>2174</Words>
  <Characters>2733</Characters>
  <TotalTime>3</TotalTime>
  <ScaleCrop>false</ScaleCrop>
  <LinksUpToDate>false</LinksUpToDate>
  <CharactersWithSpaces>2747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2023-04-28T10:23:00Z</dcterms:created>
  <dc:creator>Apache POI</dc:creator>
  <cp:lastModifiedBy>Administrator</cp:lastModifiedBy>
  <dcterms:modified xsi:type="dcterms:W3CDTF">2025-07-23T08:25:50Z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KSOTemplateDocerSaveRecord">
    <vt:lpwstr>eyJoZGlkIjoiZmJiYzM4NGMxNTU2MDViMDQzMzBjNGQ5NThlMWYxNDciLCJ1c2VySWQiOiI5NTc2ODg5MzgifQ==</vt:lpwstr>
  </property>
  <property fmtid="{D5CDD505-2E9C-101B-9397-08002B2CF9AE}" pid="4" name="ICV">
    <vt:lpwstr>F7A9AE6D901A43AFBBB9AD011370C344_12</vt:lpwstr>
  </property>
</Properties>
</file>