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新疆皮山县农村合作经济发展中心</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pPr>
        <w:rPr>
          <w:rFonts w:hint="eastAsia" w:eastAsiaTheme="minorEastAsia"/>
          <w:lang w:val="en-US" w:eastAsia="zh-CN"/>
        </w:rPr>
      </w:pPr>
      <w:r>
        <w:br w:type="page"/>
      </w:r>
    </w:p>
    <w:p>
      <w:pPr>
        <w:jc w:val="center"/>
      </w:pPr>
      <w:r>
        <w:rPr>
          <w:rFonts w:ascii="黑体" w:hAnsi="黑体" w:eastAsia="黑体" w:cs="黑体"/>
          <w:position w:val="30"/>
          <w:sz w:val="42"/>
        </w:rPr>
        <w:t>目录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w:t>
      </w:r>
      <w:r>
        <w:rPr>
          <w:rFonts w:hint="eastAsia" w:ascii="黑体" w:hAnsi="黑体" w:eastAsia="黑体" w:cs="黑体"/>
          <w:position w:val="15"/>
          <w:sz w:val="32"/>
          <w:szCs w:val="32"/>
          <w:lang w:val="en-US" w:eastAsia="zh-CN"/>
        </w:rPr>
        <w:t xml:space="preserve">  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w:t>
      </w:r>
      <w:r>
        <w:rPr>
          <w:rFonts w:hint="eastAsia" w:ascii="黑体" w:hAnsi="黑体" w:eastAsia="黑体" w:cs="黑体"/>
          <w:position w:val="15"/>
          <w:sz w:val="32"/>
          <w:szCs w:val="32"/>
          <w:lang w:val="en-US" w:eastAsia="zh-CN"/>
        </w:rPr>
        <w:t xml:space="preserve">  </w:t>
      </w:r>
      <w:r>
        <w:rPr>
          <w:rFonts w:ascii="黑体" w:hAnsi="黑体" w:eastAsia="黑体" w:cs="黑体"/>
          <w:position w:val="15"/>
          <w:sz w:val="32"/>
          <w:szCs w:val="32"/>
        </w:rPr>
        <w:t>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w:t>
      </w:r>
      <w:r>
        <w:rPr>
          <w:rFonts w:hint="eastAsia" w:ascii="黑体" w:hAnsi="黑体" w:eastAsia="黑体" w:cs="黑体"/>
          <w:position w:val="15"/>
          <w:sz w:val="32"/>
          <w:szCs w:val="32"/>
          <w:lang w:val="en-US" w:eastAsia="zh-CN"/>
        </w:rPr>
        <w:t xml:space="preserve">  </w:t>
      </w:r>
      <w:r>
        <w:rPr>
          <w:rFonts w:ascii="黑体" w:hAnsi="黑体" w:eastAsia="黑体" w:cs="黑体"/>
          <w:position w:val="15"/>
          <w:sz w:val="32"/>
          <w:szCs w:val="32"/>
        </w:rPr>
        <w:t>2023年新疆皮山县农村合作经济发展中心预算情况说明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一、关于新疆皮山县农村合作经济发展中心2023年收支预算情况的总体说明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二、关于新疆皮山县农村合作经济发展中心2023年收入预算情况说明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三、关于新疆皮山县农村合作经济发展中心2023年支出预算情况说明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四、关于新疆皮山县农村合作经济发展中心2023年财政拨款收支预算情况的总体说明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五、关于新疆皮山县农村合作经济发展中心2023年一般公共预算当年拨款情况说明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六、关于新疆皮山县农村合作经济发展中心2023年一般公共预算基本支出情况说明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七、关于新疆皮山县农村合作经济发展中心2023年一般公共预算项目支出情况说明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八、关于新疆皮山县农村合作经济发展中心2023年政府性基金预算拨款情况说明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九、关于新疆皮山县农村合作经济发展中心2023年国有资本经营预算拨款情况说明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十、关于新疆皮山县农村合作经济发展中心2023年财政拨款“三公”经费预算情况说明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r>
        <w:rPr>
          <w:sz w:val="32"/>
          <w:szCs w:val="32"/>
        </w:rP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pPr>
      <w:r>
        <w:rPr>
          <w:rFonts w:ascii="黑体" w:hAnsi="黑体" w:eastAsia="黑体" w:cs="黑体"/>
          <w:position w:val="30"/>
          <w:sz w:val="42"/>
        </w:rPr>
        <w:t>第一部分</w:t>
      </w:r>
      <w:r>
        <w:rPr>
          <w:rFonts w:hint="eastAsia" w:ascii="黑体" w:hAnsi="黑体" w:eastAsia="黑体" w:cs="黑体"/>
          <w:position w:val="30"/>
          <w:sz w:val="42"/>
          <w:lang w:val="en-US" w:eastAsia="zh-CN"/>
        </w:rPr>
        <w:t xml:space="preserve"> 2023年部门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农村集体财产和农村财务管理、农村财务审计、农村土地承包管理，合同管理、农民负担监督管理、农村经济统计，指导成立农民专业合作经济团体、指导农村经济产业化、指导发展农村经济社会化服务体系，担负着稳定农村经济管理体制、加强农村经济管理队伍自身建设。</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新疆皮山县农村合作经济发展中心无下属预算单位，</w:t>
      </w:r>
      <w:r>
        <w:rPr>
          <w:rFonts w:hint="eastAsia" w:ascii="仿宋" w:hAnsi="仿宋" w:eastAsia="仿宋" w:cs="仿宋"/>
          <w:position w:val="10"/>
          <w:sz w:val="32"/>
          <w:szCs w:val="32"/>
          <w:lang w:eastAsia="zh-CN"/>
        </w:rPr>
        <w:t>无</w:t>
      </w:r>
      <w:r>
        <w:rPr>
          <w:rFonts w:ascii="仿宋" w:hAnsi="仿宋" w:eastAsia="仿宋" w:cs="仿宋"/>
          <w:position w:val="10"/>
          <w:sz w:val="32"/>
          <w:szCs w:val="32"/>
        </w:rPr>
        <w:t>下设科室。</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新疆皮山县农村合作经济发展中心单位编制数6，实有人数19人，其中：在职9人，增加1人；退休10人，增加0人；离休0人，增加0人。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p>
    <w:p>
      <w:r>
        <w:br w:type="textWrapping"/>
      </w:r>
    </w:p>
    <w:p>
      <w:pPr>
        <w:numPr>
          <w:ilvl w:val="0"/>
          <w:numId w:val="0"/>
        </w:numPr>
        <w:ind w:left="700" w:leftChars="0" w:right="200" w:rightChars="0"/>
        <w:jc w:val="center"/>
        <w:rPr>
          <w:rFonts w:hint="eastAsia" w:ascii="黑体" w:hAnsi="黑体" w:eastAsia="黑体" w:cs="黑体"/>
          <w:position w:val="30"/>
          <w:sz w:val="42"/>
          <w:lang w:eastAsia="zh-CN"/>
        </w:rPr>
      </w:pPr>
    </w:p>
    <w:p>
      <w:pPr>
        <w:numPr>
          <w:ilvl w:val="0"/>
          <w:numId w:val="0"/>
        </w:numPr>
        <w:ind w:left="700" w:leftChars="0" w:right="200" w:rightChars="0"/>
        <w:jc w:val="center"/>
        <w:rPr>
          <w:rFonts w:hint="eastAsia" w:ascii="黑体" w:hAnsi="黑体" w:eastAsia="黑体" w:cs="黑体"/>
          <w:position w:val="30"/>
          <w:sz w:val="42"/>
          <w:lang w:eastAsia="zh-CN"/>
        </w:rPr>
      </w:pPr>
    </w:p>
    <w:p>
      <w:pPr>
        <w:numPr>
          <w:ilvl w:val="0"/>
          <w:numId w:val="0"/>
        </w:numPr>
        <w:ind w:right="200" w:rightChars="0"/>
        <w:jc w:val="both"/>
        <w:rPr>
          <w:rFonts w:hint="eastAsia" w:ascii="黑体" w:hAnsi="黑体" w:eastAsia="黑体" w:cs="黑体"/>
          <w:position w:val="30"/>
          <w:sz w:val="42"/>
          <w:lang w:eastAsia="zh-CN"/>
        </w:rPr>
      </w:pPr>
    </w:p>
    <w:p>
      <w:pPr>
        <w:numPr>
          <w:ilvl w:val="0"/>
          <w:numId w:val="0"/>
        </w:numPr>
        <w:ind w:right="200" w:rightChars="0"/>
        <w:jc w:val="both"/>
        <w:rPr>
          <w:rFonts w:hint="eastAsia" w:ascii="黑体" w:hAnsi="黑体" w:eastAsia="黑体" w:cs="黑体"/>
          <w:position w:val="30"/>
          <w:sz w:val="42"/>
          <w:lang w:eastAsia="zh-CN"/>
        </w:rPr>
      </w:pPr>
    </w:p>
    <w:p>
      <w:pPr>
        <w:numPr>
          <w:ilvl w:val="0"/>
          <w:numId w:val="0"/>
        </w:numPr>
        <w:ind w:right="200" w:rightChars="0"/>
        <w:jc w:val="both"/>
        <w:rPr>
          <w:rFonts w:hint="eastAsia" w:ascii="黑体" w:hAnsi="黑体" w:eastAsia="黑体" w:cs="黑体"/>
          <w:position w:val="30"/>
          <w:sz w:val="42"/>
          <w:lang w:eastAsia="zh-CN"/>
        </w:rPr>
      </w:pPr>
    </w:p>
    <w:p>
      <w:pPr>
        <w:numPr>
          <w:ilvl w:val="0"/>
          <w:numId w:val="0"/>
        </w:numPr>
        <w:ind w:left="700" w:leftChars="0" w:right="200" w:rightChars="0"/>
        <w:jc w:val="center"/>
        <w:rPr>
          <w:rFonts w:ascii="黑体" w:hAnsi="黑体" w:eastAsia="黑体" w:cs="黑体"/>
          <w:position w:val="30"/>
          <w:sz w:val="42"/>
        </w:rPr>
      </w:pPr>
      <w:r>
        <w:rPr>
          <w:rFonts w:hint="eastAsia" w:ascii="黑体" w:hAnsi="黑体" w:eastAsia="黑体" w:cs="黑体"/>
          <w:position w:val="30"/>
          <w:sz w:val="42"/>
          <w:lang w:eastAsia="zh-CN"/>
        </w:rPr>
        <w:t>第二部分</w:t>
      </w: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205"/>
        <w:gridCol w:w="995"/>
        <w:gridCol w:w="3460"/>
        <w:gridCol w:w="7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2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214.08</w:t>
            </w:r>
          </w:p>
        </w:tc>
        <w:tc>
          <w:tcPr>
            <w:tcW w:w="34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7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214.08</w:t>
            </w:r>
          </w:p>
        </w:tc>
      </w:tr>
    </w:tbl>
    <w:p>
      <w:r>
        <w:br w:type="textWrapping"/>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0"/>
        <w:gridCol w:w="270"/>
        <w:gridCol w:w="360"/>
        <w:gridCol w:w="1070"/>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7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4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070" w:type="dxa"/>
          </w:tcPr>
          <w:p/>
        </w:tc>
        <w:tc>
          <w:tcPr>
            <w:tcW w:w="525" w:type="dxa"/>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tcPr>
          <w:p/>
        </w:tc>
        <w:tc>
          <w:tcPr>
            <w:tcW w:w="525" w:type="dxa"/>
          </w:tcPr>
          <w:p/>
        </w:tc>
        <w:tc>
          <w:tcPr>
            <w:tcW w:w="525" w:type="dxa"/>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214.08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214.08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9.51</w:t>
            </w:r>
          </w:p>
        </w:tc>
      </w:tr>
    </w:tbl>
    <w:p>
      <w:r>
        <w:br w:type="textWrapping"/>
      </w:r>
    </w:p>
    <w:p/>
    <w:p/>
    <w:p/>
    <w:p/>
    <w:p/>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795"/>
        <w:gridCol w:w="605"/>
        <w:gridCol w:w="2710"/>
        <w:gridCol w:w="630"/>
        <w:gridCol w:w="735"/>
        <w:gridCol w:w="990"/>
        <w:gridCol w:w="93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1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329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1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329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2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9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92"/>
        <w:gridCol w:w="1088"/>
        <w:gridCol w:w="2728"/>
        <w:gridCol w:w="1296"/>
        <w:gridCol w:w="1332"/>
        <w:gridCol w:w="136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399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99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272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68" w:hRule="atLeast"/>
        </w:trPr>
        <w:tc>
          <w:tcPr>
            <w:tcW w:w="5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728" w:type="dxa"/>
          </w:tcPr>
          <w:p/>
        </w:tc>
        <w:tc>
          <w:tcPr>
            <w:tcW w:w="1296" w:type="dxa"/>
          </w:tcPr>
          <w:p/>
        </w:tc>
        <w:tc>
          <w:tcPr>
            <w:tcW w:w="1332" w:type="dxa"/>
          </w:tcPr>
          <w:p/>
        </w:tc>
        <w:tc>
          <w:tcPr>
            <w:tcW w:w="136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178.49</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178.49</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47.41</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47.41</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53.84</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53.84</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17.69</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17.69</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2.51</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2.51</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18.75</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7.62</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7.62</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6.83</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6.83</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14.06</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14.06</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9.75</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16.33</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16.33</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12.87</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12.87</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7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204.57</w:t>
            </w:r>
          </w:p>
        </w:tc>
        <w:tc>
          <w:tcPr>
            <w:tcW w:w="13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195.90</w:t>
            </w:r>
          </w:p>
        </w:tc>
        <w:tc>
          <w:tcPr>
            <w:tcW w:w="13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8.67</w:t>
            </w:r>
          </w:p>
        </w:tc>
      </w:tr>
    </w:tbl>
    <w:p>
      <w:r>
        <w:br w:type="textWrapping"/>
      </w:r>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left w:val="nil"/>
              <w:bottom w:val="nil"/>
              <w:right w:val="nil"/>
            </w:tcBorders>
            <w:vAlign w:val="center"/>
          </w:tcPr>
          <w:p>
            <w:pPr>
              <w:ind w:left="150"/>
              <w:jc w:val="left"/>
            </w:pPr>
            <w:r>
              <w:rPr>
                <w:rFonts w:ascii="仿宋" w:hAnsi="仿宋" w:eastAsia="仿宋" w:cs="仿宋"/>
                <w:position w:val="8"/>
                <w:sz w:val="20"/>
              </w:rPr>
              <w:t>新疆皮山县农村合作经济发展中心2023年没有公共预算项目安排的支出，一般公共预算项目支出情况表为空表。</w:t>
            </w:r>
          </w:p>
        </w:tc>
      </w:tr>
    </w:tbl>
    <w:p>
      <w:r>
        <w:br w:type="textWrapping"/>
      </w:r>
    </w:p>
    <w:p/>
    <w:p/>
    <w:p/>
    <w:p/>
    <w:p/>
    <w:p/>
    <w:p/>
    <w:p/>
    <w:p/>
    <w:p/>
    <w:p/>
    <w:p/>
    <w:p/>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新疆皮山县农村合作经济发展中心2023年没有使用政府性基金预算拨款安排的支出，政府性基金预算支出情况表为空表。</w:t>
            </w:r>
          </w:p>
        </w:tc>
      </w:tr>
    </w:tbl>
    <w:p/>
    <w:p/>
    <w:p/>
    <w:p/>
    <w:p/>
    <w:p/>
    <w:p/>
    <w:p/>
    <w:p/>
    <w:p/>
    <w:p/>
    <w:p/>
    <w:p/>
    <w:p/>
    <w:p/>
    <w:p/>
    <w:p/>
    <w:p/>
    <w:p/>
    <w:p/>
    <w:p/>
    <w:p/>
    <w:p/>
    <w:p/>
    <w:p/>
    <w:p/>
    <w:p/>
    <w:p/>
    <w:p/>
    <w:p/>
    <w:p/>
    <w:p>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新疆皮山县农村合作经济发展中心2023年没有安排国有资本经营预算的支出，国有资本经营预算支出情况表为空表。</w:t>
            </w:r>
          </w:p>
        </w:tc>
      </w:tr>
    </w:tbl>
    <w:p>
      <w:r>
        <w:br w:type="textWrapping"/>
      </w:r>
    </w:p>
    <w:p/>
    <w:p/>
    <w:p/>
    <w:p/>
    <w:p/>
    <w:p/>
    <w:p/>
    <w:p/>
    <w:p/>
    <w:p/>
    <w:p/>
    <w:p/>
    <w:p/>
    <w:p/>
    <w:p/>
    <w:p/>
    <w:p/>
    <w:p/>
    <w:p/>
    <w:p/>
    <w:p/>
    <w:p/>
    <w:p/>
    <w:p/>
    <w:p/>
    <w:p/>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：新疆皮山县农村合作经济发展中心</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pPr>
      <w:r>
        <w:rPr>
          <w:rFonts w:ascii="黑体" w:hAnsi="黑体" w:eastAsia="黑体" w:cs="黑体"/>
          <w:position w:val="30"/>
          <w:sz w:val="42"/>
        </w:rPr>
        <w:t>第三部分2023年新疆皮山县农村合作经济发展中心预算情况说明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一、关于新疆皮山县农村合作经济发展中心2023年收支预算情况的总体说明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按照全口径预算的原则，新疆皮山县农村合作经济发展中心2023年所有收入和支出均纳入单位预算管理。收支总预算214.08万元。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收入预算包括：一般公共预算、财政拨款</w:t>
      </w:r>
      <w:r>
        <w:rPr>
          <w:rFonts w:hint="eastAsia" w:ascii="仿宋" w:hAnsi="仿宋" w:eastAsia="仿宋" w:cs="仿宋"/>
          <w:position w:val="10"/>
          <w:sz w:val="32"/>
          <w:szCs w:val="32"/>
          <w:lang w:eastAsia="zh-CN"/>
        </w:rPr>
        <w:t>结转结余</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支出预算包括：社会保障和就业支出、农林水支出、其他支出。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二、关于新疆皮山县农村合作经济发展中心2023年收入预算情况说明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新疆皮山县农村合作经济发展中心收入预算214.08万元，其中：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一般公共预算204.57万元，占95.56%，比上年预算增加17.19万元，增长9.17%，主要原因是调增基数，增加工资。</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财政拨款结转9.51万元，占4.44%，比上年预算增加9.51万元，增长100.00%，主要原因是2022年项目经费没及时花，结转到2023年里。</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三、关于新疆皮山县农村合作经济发展中心2023年支出预算情况说明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新疆皮山县农村合作经济发展中心2023年支出预算214.08万元，其中：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基本支出204.57万元，占95.56%，比上年预算增加17.19万元，增长9.17%，主要原因是调增基数，增加工资。</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项目支出9.51万元，占4.44%，比上年预算增加9.51万元，增长100.00%，主要原因是2022年项目经费没及时花，结转到2023年里。</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四、关于新疆皮山县农村合作经济发展中心2023年财政拨款收支预算情况的总体说明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2023年财政拨款收支总预算204.57万元。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收入预算包括：一般公共预算拨款204.57万元。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一般公共预算支出包括：社会保障和就业支出28.13万元，主要用于单位为职工缴纳的基本养老保险和职业年金。</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农林水支出176.44万元，主要用于保障机关人员工资及正常运行的日常公用经费支出。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五、关于新疆皮山县农村合作经济发展中心2023年一般公共预算当年拨款情况说明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新疆皮山县农村合作经济发展中心2023年一般公共预算拨款合计204.57万元，其中：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基本支出204.57万元，比上年预算增加17.19万元，增长9.17%。主要原因是：调增基数，增加工资。</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项目支出0万元，比上年预算增加0万元，增长0%。主要原因是：</w:t>
      </w:r>
      <w:r>
        <w:rPr>
          <w:rFonts w:hint="eastAsia" w:ascii="仿宋" w:hAnsi="仿宋" w:eastAsia="仿宋" w:cs="仿宋"/>
          <w:position w:val="10"/>
          <w:sz w:val="32"/>
          <w:szCs w:val="32"/>
          <w:lang w:eastAsia="zh-CN"/>
        </w:rPr>
        <w:t>单位未安排项目，无预算支出。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1.社会保障和就业支出（类）28.13万元，占13.75%。</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2.农林水支出（类）176.44万元，占86.25%。</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1.社会保障和就业支出（类）行政事业单位养老支出（款）机关事业单位基本养老保险缴费支出（项）:2023年预算数为18.75万元，比上年预算数增加2.32万元，增长14.12%，主要原因是：基数增加。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2.社会保障和就业支出（类）行政事业单位养老支出（款）机关事业单位职业年金缴费支出（项）:2023年预算数为9.38万元，比上年预算数增加1.17万元，增长14.25%，主要原因是：基数增加。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3.农林水支出（类）农业（款）事业运行（项）:2023年预算数为176.44万元，比上年预算数增加21.75万元，增长14.06%，主要原因是：人员工资增加，社保和医保，住房公积金，职业年金基数增加。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六、关于新疆皮山县农村合作经济发展中心2023年一般公共预算基本支出情况说明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新疆皮山县农村合作经济发展中心2023年一般公共预算基本支出204.57万元，其中：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人员经费195.90万元，主要包括：基本工资、津贴补贴、奖金、绩效工资、机关事业单位基本养老保险缴费、职业年金缴费、城镇职工基本医疗保险缴费、公务员医疗补助缴费、其他社会保障缴费、住房公积金、取暖费、退休费、生活补助。</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公用经费2万元，主要包括：办公费、取暖费、公务用车运行维护费。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七、关于新疆皮山县农村合作经济发展中心2023年一般公共预算项目支出情况说明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八、关于新疆皮山县农村合作经济发展中心2023年政府性基金预算拨款情况说明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九、关于新疆皮山县农村合作经济发展中心2023年国有资本经营预算拨款情况说明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十、关于新疆皮山县农村合作经济发展中心2023年财政拨款“三公”经费预算情况说明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新疆皮山县农村合作经济发展中心2023年财政拨款“三公”经费数为2万元，其中：因公出国（境）费0万元，公务用车购置费0万元，公务用车运行费2万元，公务接待费0万元。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2023年财政拨款“三公”经费比上年预算增加0万元，增长0%，其中：因公出国（境）费增加0万元，增长0%，主要原因是</w:t>
      </w:r>
      <w:r>
        <w:rPr>
          <w:rFonts w:hint="eastAsia" w:ascii="仿宋" w:hAnsi="仿宋" w:eastAsia="仿宋" w:cs="仿宋"/>
          <w:position w:val="10"/>
          <w:sz w:val="32"/>
          <w:szCs w:val="32"/>
          <w:lang w:eastAsia="zh-CN"/>
        </w:rPr>
        <w:t>单位无</w:t>
      </w:r>
      <w:r>
        <w:rPr>
          <w:rFonts w:ascii="仿宋" w:hAnsi="仿宋" w:eastAsia="仿宋" w:cs="仿宋"/>
          <w:position w:val="10"/>
          <w:sz w:val="32"/>
          <w:szCs w:val="32"/>
        </w:rPr>
        <w:t>因公出国（境）费</w:t>
      </w:r>
      <w:r>
        <w:rPr>
          <w:rFonts w:hint="eastAsia" w:ascii="仿宋" w:hAnsi="仿宋" w:eastAsia="仿宋" w:cs="仿宋"/>
          <w:position w:val="10"/>
          <w:sz w:val="32"/>
          <w:szCs w:val="32"/>
          <w:lang w:eastAsia="zh-CN"/>
        </w:rPr>
        <w:t>预算</w:t>
      </w:r>
      <w:r>
        <w:rPr>
          <w:rFonts w:ascii="仿宋" w:hAnsi="仿宋" w:eastAsia="仿宋" w:cs="仿宋"/>
          <w:position w:val="10"/>
          <w:sz w:val="32"/>
          <w:szCs w:val="32"/>
        </w:rPr>
        <w:t>。公务用车购置费增加0万元，增长0%，主要原因是</w:t>
      </w:r>
      <w:r>
        <w:rPr>
          <w:rFonts w:hint="eastAsia" w:ascii="仿宋" w:hAnsi="仿宋" w:eastAsia="仿宋" w:cs="仿宋"/>
          <w:position w:val="10"/>
          <w:sz w:val="32"/>
          <w:szCs w:val="32"/>
          <w:lang w:eastAsia="zh-CN"/>
        </w:rPr>
        <w:t>单位无</w:t>
      </w:r>
      <w:r>
        <w:rPr>
          <w:rFonts w:ascii="仿宋" w:hAnsi="仿宋" w:eastAsia="仿宋" w:cs="仿宋"/>
          <w:position w:val="10"/>
          <w:sz w:val="32"/>
          <w:szCs w:val="32"/>
        </w:rPr>
        <w:t>公务用车购置费</w:t>
      </w:r>
      <w:r>
        <w:rPr>
          <w:rFonts w:hint="eastAsia" w:ascii="仿宋" w:hAnsi="仿宋" w:eastAsia="仿宋" w:cs="仿宋"/>
          <w:position w:val="10"/>
          <w:sz w:val="32"/>
          <w:szCs w:val="32"/>
          <w:lang w:eastAsia="zh-CN"/>
        </w:rPr>
        <w:t>预算</w:t>
      </w:r>
      <w:r>
        <w:rPr>
          <w:rFonts w:ascii="仿宋" w:hAnsi="仿宋" w:eastAsia="仿宋" w:cs="仿宋"/>
          <w:position w:val="10"/>
          <w:sz w:val="32"/>
          <w:szCs w:val="32"/>
        </w:rPr>
        <w:t>。公务用车运行费增加0万元，增长0%，主要原因是</w:t>
      </w:r>
      <w:r>
        <w:rPr>
          <w:rFonts w:hint="eastAsia" w:ascii="仿宋" w:hAnsi="仿宋" w:eastAsia="仿宋" w:cs="仿宋"/>
          <w:position w:val="10"/>
          <w:sz w:val="32"/>
          <w:szCs w:val="32"/>
          <w:lang w:eastAsia="zh-CN"/>
        </w:rPr>
        <w:t>公务用车运行经费预算与上年一致，无变化</w:t>
      </w:r>
      <w:r>
        <w:rPr>
          <w:rFonts w:ascii="仿宋" w:hAnsi="仿宋" w:eastAsia="仿宋" w:cs="仿宋"/>
          <w:position w:val="10"/>
          <w:sz w:val="32"/>
          <w:szCs w:val="32"/>
        </w:rPr>
        <w:t>。公务接待费增加0万元，增长0%，主要原因是</w:t>
      </w:r>
      <w:r>
        <w:rPr>
          <w:rFonts w:hint="eastAsia" w:ascii="仿宋" w:hAnsi="仿宋" w:eastAsia="仿宋" w:cs="仿宋"/>
          <w:position w:val="10"/>
          <w:sz w:val="32"/>
          <w:szCs w:val="32"/>
          <w:lang w:eastAsia="zh-CN"/>
        </w:rPr>
        <w:t>单位无公务接待事项</w:t>
      </w:r>
      <w:bookmarkStart w:id="0" w:name="_GoBack"/>
      <w:bookmarkEnd w:id="0"/>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2023年，新疆皮山县农村合作经济发展中心本级及下属0家行政单位和0家事业单位的机关运行经费财政拨款预算8.67万元，比上年预算增加0.62万元，增长7.70%。主要原因是2022年项目经费</w:t>
      </w:r>
      <w:r>
        <w:rPr>
          <w:rFonts w:hint="eastAsia" w:ascii="仿宋" w:hAnsi="仿宋" w:eastAsia="仿宋" w:cs="仿宋"/>
          <w:position w:val="10"/>
          <w:sz w:val="32"/>
          <w:szCs w:val="32"/>
          <w:lang w:eastAsia="zh-CN"/>
        </w:rPr>
        <w:t>没有用完，有结余资金，转入</w:t>
      </w:r>
      <w:r>
        <w:rPr>
          <w:rFonts w:hint="eastAsia" w:ascii="仿宋" w:hAnsi="仿宋" w:eastAsia="仿宋" w:cs="仿宋"/>
          <w:position w:val="10"/>
          <w:sz w:val="32"/>
          <w:szCs w:val="32"/>
          <w:lang w:val="en-US" w:eastAsia="zh-CN"/>
        </w:rPr>
        <w:t>2023年项目经费进行使用</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2023年，新疆皮山县农村合作经济发展中心政府采购预算0万元，其中：政府采购货物预算0万元，政府采购工程预算0万元，政府采购服务预算0万元。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截至2022年底，新疆皮山县农村合作经济发展中心及下属各预算单位占用使用国有资产总体情况为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1.房屋10211.85平方米，价值260.03万元。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3.办公家具价值24.4万元。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4.其他资产价值57.95万元。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202</w:t>
      </w:r>
      <w:r>
        <w:rPr>
          <w:rFonts w:hint="eastAsia" w:ascii="仿宋" w:hAnsi="仿宋" w:eastAsia="仿宋" w:cs="仿宋"/>
          <w:position w:val="10"/>
          <w:sz w:val="32"/>
          <w:szCs w:val="32"/>
          <w:lang w:val="en-US" w:eastAsia="zh-CN"/>
        </w:rPr>
        <w:t>3</w:t>
      </w:r>
      <w:r>
        <w:rPr>
          <w:rFonts w:ascii="仿宋" w:hAnsi="仿宋" w:eastAsia="仿宋" w:cs="仿宋"/>
          <w:position w:val="10"/>
          <w:sz w:val="32"/>
          <w:szCs w:val="32"/>
        </w:rPr>
        <w:t>年</w:t>
      </w:r>
      <w:r>
        <w:rPr>
          <w:rFonts w:hint="eastAsia" w:ascii="仿宋" w:hAnsi="仿宋" w:eastAsia="仿宋" w:cs="仿宋"/>
          <w:position w:val="10"/>
          <w:sz w:val="32"/>
          <w:szCs w:val="32"/>
          <w:lang w:eastAsia="zh-CN"/>
        </w:rPr>
        <w:t>度本单位未做</w:t>
      </w:r>
      <w:r>
        <w:rPr>
          <w:rFonts w:ascii="仿宋" w:hAnsi="仿宋" w:eastAsia="仿宋" w:cs="仿宋"/>
          <w:position w:val="10"/>
          <w:sz w:val="32"/>
          <w:szCs w:val="32"/>
        </w:rPr>
        <w:t>中小企业预留政府采购项目预算</w:t>
      </w:r>
      <w:r>
        <w:rPr>
          <w:rFonts w:hint="eastAsia" w:ascii="仿宋" w:hAnsi="仿宋" w:eastAsia="仿宋" w:cs="仿宋"/>
          <w:position w:val="10"/>
          <w:sz w:val="32"/>
          <w:szCs w:val="32"/>
          <w:lang w:eastAsia="zh-CN"/>
        </w:rPr>
        <w:t>，其中：未做小微企业预留政府采购项目预算。</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right="200"/>
        <w:jc w:val="center"/>
      </w:pPr>
      <w:r>
        <w:rPr>
          <w:rFonts w:ascii="黑体" w:hAnsi="黑体" w:eastAsia="黑体" w:cs="黑体"/>
          <w:position w:val="30"/>
          <w:sz w:val="4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rPr>
          <w:sz w:val="32"/>
          <w:szCs w:val="32"/>
        </w:rPr>
      </w:pPr>
      <w:r>
        <w:rPr>
          <w:rFonts w:ascii="仿宋" w:hAnsi="仿宋" w:eastAsia="仿宋" w:cs="仿宋"/>
          <w:position w:val="10"/>
          <w:sz w:val="32"/>
          <w:szCs w:val="32"/>
        </w:rPr>
        <w:t>新疆皮山县农村合作经济发展中心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center"/>
        <w:textAlignment w:val="auto"/>
        <w:outlineLvl w:val="9"/>
        <w:rPr>
          <w:sz w:val="32"/>
          <w:szCs w:val="32"/>
        </w:rPr>
      </w:pPr>
      <w:r>
        <w:rPr>
          <w:rFonts w:hint="eastAsia" w:ascii="仿宋" w:hAnsi="仿宋" w:eastAsia="仿宋" w:cs="仿宋"/>
          <w:position w:val="10"/>
          <w:sz w:val="32"/>
          <w:szCs w:val="32"/>
          <w:lang w:val="en-US" w:eastAsia="zh-CN"/>
        </w:rPr>
        <w:t xml:space="preserve">                 </w:t>
      </w: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footerReference r:id="rId3" w:type="default"/>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27BA3"/>
    <w:rsid w:val="04630250"/>
    <w:rsid w:val="0861276D"/>
    <w:rsid w:val="0AA058C0"/>
    <w:rsid w:val="0EC35D68"/>
    <w:rsid w:val="17292A9F"/>
    <w:rsid w:val="1D8A5586"/>
    <w:rsid w:val="1EC5115B"/>
    <w:rsid w:val="226D31AF"/>
    <w:rsid w:val="2330562E"/>
    <w:rsid w:val="2E2343A8"/>
    <w:rsid w:val="32B92A86"/>
    <w:rsid w:val="338F620E"/>
    <w:rsid w:val="34987EF2"/>
    <w:rsid w:val="3CBE0BD7"/>
    <w:rsid w:val="3DDA0562"/>
    <w:rsid w:val="41D447B5"/>
    <w:rsid w:val="428554E6"/>
    <w:rsid w:val="43375137"/>
    <w:rsid w:val="44C612CF"/>
    <w:rsid w:val="460349E4"/>
    <w:rsid w:val="47282EF6"/>
    <w:rsid w:val="47AE33FE"/>
    <w:rsid w:val="4AB34CC9"/>
    <w:rsid w:val="4B8C6B3C"/>
    <w:rsid w:val="4BC37E8C"/>
    <w:rsid w:val="4C246EB0"/>
    <w:rsid w:val="4D5A7BDE"/>
    <w:rsid w:val="506F5A27"/>
    <w:rsid w:val="508E4861"/>
    <w:rsid w:val="57574DB3"/>
    <w:rsid w:val="58444FBC"/>
    <w:rsid w:val="5B705BD2"/>
    <w:rsid w:val="609D14A9"/>
    <w:rsid w:val="6654056B"/>
    <w:rsid w:val="688C2E49"/>
    <w:rsid w:val="6A1D7740"/>
    <w:rsid w:val="6A9E2AA6"/>
    <w:rsid w:val="6B205FEE"/>
    <w:rsid w:val="70D00F98"/>
    <w:rsid w:val="73ED2FEF"/>
    <w:rsid w:val="75364204"/>
    <w:rsid w:val="78202434"/>
    <w:rsid w:val="7AA10B20"/>
    <w:rsid w:val="7B982DD6"/>
    <w:rsid w:val="7E520334"/>
    <w:rsid w:val="7ED21B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22</Pages>
  <Words>2797</Words>
  <Characters>3628</Characters>
  <TotalTime>3</TotalTime>
  <ScaleCrop>false</ScaleCrop>
  <LinksUpToDate>false</LinksUpToDate>
  <CharactersWithSpaces>3656</CharactersWithSpaces>
  <Application>WPS Office_11.8.2.8621_F1E327BC-269C-435d-A152-05C5408002CA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2023-04-28T10:43:00Z</dcterms:created>
  <dc:creator>Apache POI</dc:creator>
  <cp:lastModifiedBy>Administrator</cp:lastModifiedBy>
  <dcterms:modified xsi:type="dcterms:W3CDTF">2025-10-11T08:05:09Z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F111F39C342A4E0DB351FF02E0028CE9_12</vt:lpwstr>
  </property>
</Properties>
</file>