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2532"/>
          <w:tab w:val="center" w:pos="4482"/>
        </w:tabs>
        <w:spacing w:before="100" w:beforeAutospacing="1" w:after="100" w:afterAutospacing="1"/>
        <w:jc w:val="center"/>
        <w:outlineLvl w:val="1"/>
        <w:rPr>
          <w:rFonts w:hint="default" w:ascii="Times New Roman" w:hAnsi="Times New Roman" w:eastAsia="方正小标宋_GBK" w:cs="Times New Roman"/>
          <w:kern w:val="0"/>
          <w:sz w:val="44"/>
          <w:szCs w:val="44"/>
          <w:lang w:val="en-US" w:eastAsia="zh-CN" w:bidi="ar-SA"/>
        </w:rPr>
      </w:pPr>
      <w:r>
        <w:rPr>
          <w:rFonts w:hint="eastAsia" w:ascii="黑体" w:hAnsi="黑体" w:eastAsia="黑体"/>
          <w:sz w:val="32"/>
          <w:szCs w:val="32"/>
          <w:highlight w:val="none"/>
          <w:lang w:val="en-US" w:eastAsia="zh-CN"/>
        </w:rPr>
        <w:t xml:space="preserve"> </w:t>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default" w:ascii="Times New Roman" w:hAnsi="Times New Roman" w:eastAsia="方正小标宋_GBK" w:cs="Times New Roman"/>
          <w:kern w:val="0"/>
          <w:sz w:val="44"/>
          <w:szCs w:val="44"/>
          <w:lang w:val="en-US" w:eastAsia="zh-CN" w:bidi="ar-SA"/>
        </w:rPr>
        <w:t>皮山县藏桂乡人民政府</w:t>
      </w:r>
    </w:p>
    <w:p>
      <w:pPr>
        <w:widowControl/>
        <w:tabs>
          <w:tab w:val="left" w:pos="2532"/>
          <w:tab w:val="center" w:pos="4482"/>
        </w:tabs>
        <w:spacing w:before="100" w:beforeAutospacing="1" w:after="100" w:afterAutospacing="1"/>
        <w:jc w:val="center"/>
        <w:outlineLvl w:val="1"/>
      </w:pPr>
      <w:r>
        <w:rPr>
          <w:rFonts w:hint="default" w:ascii="Times New Roman" w:hAnsi="Times New Roman" w:eastAsia="方正小标宋_GBK" w:cs="Times New Roman"/>
          <w:kern w:val="0"/>
          <w:sz w:val="44"/>
          <w:szCs w:val="44"/>
          <w:lang w:val="en-US" w:eastAsia="zh-CN" w:bidi="ar-SA"/>
        </w:rPr>
        <w:t>2023年</w:t>
      </w:r>
      <w:r>
        <w:rPr>
          <w:rFonts w:hint="eastAsia" w:ascii="Times New Roman" w:hAnsi="Times New Roman" w:eastAsia="方正小标宋_GBK" w:cs="Times New Roman"/>
          <w:kern w:val="0"/>
          <w:sz w:val="44"/>
          <w:szCs w:val="44"/>
          <w:lang w:val="en-US" w:eastAsia="zh-CN" w:bidi="ar-SA"/>
        </w:rPr>
        <w:t>部门</w:t>
      </w:r>
      <w:r>
        <w:rPr>
          <w:rFonts w:hint="default" w:ascii="Times New Roman" w:hAnsi="Times New Roman" w:eastAsia="方正小标宋_GBK" w:cs="Times New Roman"/>
          <w:kern w:val="0"/>
          <w:sz w:val="44"/>
          <w:szCs w:val="44"/>
          <w:lang w:val="en-US" w:eastAsia="zh-CN" w:bidi="ar-SA"/>
        </w:rPr>
        <w:t>预算公开</w:t>
      </w:r>
    </w:p>
    <w:p>
      <w:r>
        <w:br w:type="page"/>
      </w:r>
    </w:p>
    <w:p>
      <w:pPr>
        <w:jc w:val="center"/>
        <w:rPr>
          <w:sz w:val="44"/>
          <w:szCs w:val="44"/>
        </w:rPr>
      </w:pPr>
      <w:r>
        <w:rPr>
          <w:rFonts w:hint="eastAsia" w:ascii="方正小标宋简体" w:hAnsi="宋体" w:eastAsia="方正小标宋简体" w:cs="Times New Roman"/>
          <w:color w:val="000000"/>
          <w:kern w:val="2"/>
          <w:sz w:val="44"/>
          <w:szCs w:val="44"/>
          <w:shd w:val="clear" w:color="auto" w:fill="FFFFFF"/>
          <w:lang w:val="en-US" w:eastAsia="zh-CN" w:bidi="ar-SA"/>
        </w:rPr>
        <w:t>目  录</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sz w:val="32"/>
          <w:szCs w:val="32"/>
        </w:rPr>
      </w:pPr>
      <w:r>
        <w:rPr>
          <w:rFonts w:ascii="黑体" w:hAnsi="黑体" w:eastAsia="黑体" w:cs="黑体"/>
          <w:position w:val="15"/>
          <w:sz w:val="32"/>
          <w:szCs w:val="32"/>
        </w:rPr>
        <w:t>第一部分</w:t>
      </w:r>
      <w:r>
        <w:rPr>
          <w:rFonts w:hint="eastAsia" w:ascii="黑体" w:hAnsi="黑体" w:eastAsia="黑体" w:cs="黑体"/>
          <w:position w:val="15"/>
          <w:sz w:val="32"/>
          <w:szCs w:val="32"/>
          <w:lang w:val="en-US" w:eastAsia="zh-CN"/>
        </w:rPr>
        <w:t>2023年部门</w:t>
      </w:r>
      <w:r>
        <w:rPr>
          <w:rFonts w:ascii="黑体" w:hAnsi="黑体" w:eastAsia="黑体" w:cs="黑体"/>
          <w:position w:val="15"/>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outlineLvl w:val="9"/>
        <w:rPr>
          <w:rFonts w:hint="eastAsia" w:ascii="FangSong_GB2312" w:hAnsi="FangSong_GB2312" w:eastAsia="FangSong_GB2312" w:cs="FangSong_GB2312"/>
          <w:b/>
          <w:kern w:val="0"/>
          <w:sz w:val="32"/>
          <w:szCs w:val="32"/>
          <w:highlight w:val="none"/>
        </w:rPr>
      </w:pPr>
      <w:r>
        <w:rPr>
          <w:rFonts w:hint="eastAsia" w:ascii="FangSong_GB2312" w:hAnsi="FangSong_GB2312" w:eastAsia="FangSong_GB2312" w:cs="FangSong_GB2312"/>
          <w:b/>
          <w:kern w:val="0"/>
          <w:sz w:val="32"/>
          <w:szCs w:val="32"/>
          <w:highlight w:val="none"/>
        </w:rPr>
        <w:t>第二部分</w:t>
      </w:r>
      <w:r>
        <w:rPr>
          <w:rFonts w:hint="eastAsia" w:ascii="FangSong_GB2312" w:hAnsi="FangSong_GB2312" w:eastAsia="FangSong_GB2312" w:cs="FangSong_GB2312"/>
          <w:b/>
          <w:kern w:val="0"/>
          <w:sz w:val="32"/>
          <w:szCs w:val="32"/>
          <w:highlight w:val="none"/>
          <w:lang w:val="en-US" w:eastAsia="zh-CN"/>
        </w:rPr>
        <w:t>2023</w:t>
      </w:r>
      <w:r>
        <w:rPr>
          <w:rFonts w:hint="eastAsia" w:ascii="FangSong_GB2312" w:hAnsi="FangSong_GB2312" w:eastAsia="FangSong_GB2312" w:cs="FangSong_GB2312"/>
          <w:b/>
          <w:kern w:val="0"/>
          <w:sz w:val="32"/>
          <w:szCs w:val="32"/>
          <w:highlight w:val="none"/>
        </w:rPr>
        <w:t>年</w:t>
      </w:r>
      <w:r>
        <w:rPr>
          <w:rFonts w:hint="eastAsia" w:ascii="FangSong_GB2312" w:hAnsi="FangSong_GB2312" w:eastAsia="FangSong_GB2312" w:cs="FangSong_GB2312"/>
          <w:b/>
          <w:kern w:val="0"/>
          <w:sz w:val="32"/>
          <w:szCs w:val="32"/>
          <w:highlight w:val="none"/>
          <w:lang w:eastAsia="zh-CN"/>
        </w:rPr>
        <w:t>部门</w:t>
      </w:r>
      <w:r>
        <w:rPr>
          <w:rFonts w:hint="eastAsia" w:ascii="FangSong_GB2312" w:hAnsi="FangSong_GB2312" w:eastAsia="FangSong_GB2312" w:cs="FangSong_GB2312"/>
          <w:b/>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一、</w:t>
      </w:r>
      <w:r>
        <w:rPr>
          <w:rFonts w:hint="eastAsia" w:ascii="仿宋" w:hAnsi="仿宋" w:eastAsia="仿宋" w:cs="仿宋"/>
          <w:kern w:val="0"/>
          <w:sz w:val="32"/>
          <w:szCs w:val="32"/>
          <w:highlight w:val="none"/>
          <w:lang w:eastAsia="zh-CN"/>
        </w:rPr>
        <w:t>部门</w:t>
      </w:r>
      <w:r>
        <w:rPr>
          <w:rFonts w:hint="eastAsia" w:ascii="仿宋" w:hAnsi="仿宋" w:eastAsia="仿宋" w:cs="仿宋"/>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二、</w:t>
      </w:r>
      <w:r>
        <w:rPr>
          <w:rFonts w:hint="eastAsia" w:ascii="仿宋" w:hAnsi="仿宋" w:eastAsia="仿宋" w:cs="仿宋"/>
          <w:kern w:val="0"/>
          <w:sz w:val="32"/>
          <w:szCs w:val="32"/>
          <w:highlight w:val="none"/>
          <w:lang w:eastAsia="zh-CN"/>
        </w:rPr>
        <w:t>部门</w:t>
      </w:r>
      <w:r>
        <w:rPr>
          <w:rFonts w:hint="eastAsia" w:ascii="仿宋" w:hAnsi="仿宋" w:eastAsia="仿宋" w:cs="仿宋"/>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三、</w:t>
      </w:r>
      <w:r>
        <w:rPr>
          <w:rFonts w:hint="eastAsia" w:ascii="仿宋" w:hAnsi="仿宋" w:eastAsia="仿宋" w:cs="仿宋"/>
          <w:kern w:val="0"/>
          <w:sz w:val="32"/>
          <w:szCs w:val="32"/>
          <w:highlight w:val="none"/>
          <w:lang w:eastAsia="zh-CN"/>
        </w:rPr>
        <w:t>部门</w:t>
      </w:r>
      <w:r>
        <w:rPr>
          <w:rFonts w:hint="eastAsia" w:ascii="仿宋" w:hAnsi="仿宋" w:eastAsia="仿宋" w:cs="仿宋"/>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四、财政拨款收支总体情况表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lang w:val="en-US" w:eastAsia="zh-Hans"/>
        </w:rPr>
        <w:t>八</w:t>
      </w:r>
      <w:r>
        <w:rPr>
          <w:rFonts w:hint="eastAsia" w:ascii="仿宋" w:hAnsi="仿宋" w:eastAsia="仿宋" w:cs="仿宋"/>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lang w:val="en-US" w:eastAsia="zh-Hans"/>
        </w:rPr>
        <w:t>九、</w:t>
      </w:r>
      <w:r>
        <w:rPr>
          <w:rFonts w:hint="eastAsia" w:ascii="仿宋" w:hAnsi="仿宋" w:eastAsia="仿宋" w:cs="仿宋"/>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lang w:val="en-US" w:eastAsia="zh-Hans"/>
        </w:rPr>
        <w:t>十</w:t>
      </w:r>
      <w:r>
        <w:rPr>
          <w:rFonts w:hint="eastAsia" w:ascii="仿宋" w:hAnsi="仿宋" w:eastAsia="仿宋" w:cs="仿宋"/>
          <w:kern w:val="0"/>
          <w:sz w:val="32"/>
          <w:szCs w:val="32"/>
          <w:highlight w:val="none"/>
        </w:rPr>
        <w:t>、</w:t>
      </w:r>
      <w:r>
        <w:rPr>
          <w:rFonts w:hint="eastAsia" w:ascii="仿宋" w:hAnsi="仿宋" w:eastAsia="仿宋" w:cs="仿宋"/>
          <w:kern w:val="0"/>
          <w:sz w:val="32"/>
          <w:szCs w:val="32"/>
          <w:highlight w:val="none"/>
          <w:lang w:val="en-US" w:eastAsia="zh-Hans"/>
        </w:rPr>
        <w:t>财政拨款</w:t>
      </w:r>
      <w:r>
        <w:rPr>
          <w:rFonts w:hint="eastAsia" w:ascii="仿宋" w:hAnsi="仿宋" w:eastAsia="仿宋" w:cs="仿宋"/>
          <w:kern w:val="0"/>
          <w:sz w:val="32"/>
          <w:szCs w:val="32"/>
          <w:highlight w:val="none"/>
        </w:rPr>
        <w:t>“三公”经费支出情况表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sz w:val="32"/>
          <w:szCs w:val="32"/>
        </w:rPr>
      </w:pPr>
      <w:r>
        <w:rPr>
          <w:rFonts w:ascii="黑体" w:hAnsi="黑体" w:eastAsia="黑体" w:cs="黑体"/>
          <w:position w:val="15"/>
          <w:sz w:val="32"/>
          <w:szCs w:val="32"/>
        </w:rPr>
        <w:t>第三部分2023年</w:t>
      </w:r>
      <w:r>
        <w:rPr>
          <w:rFonts w:hint="eastAsia" w:ascii="黑体" w:hAnsi="黑体" w:eastAsia="黑体" w:cs="黑体"/>
          <w:position w:val="15"/>
          <w:sz w:val="32"/>
          <w:szCs w:val="32"/>
        </w:rPr>
        <w:t>皮山县藏桂乡人民政府</w:t>
      </w:r>
      <w:r>
        <w:rPr>
          <w:rFonts w:ascii="黑体" w:hAnsi="黑体" w:eastAsia="黑体" w:cs="黑体"/>
          <w:position w:val="15"/>
          <w:sz w:val="32"/>
          <w:szCs w:val="32"/>
        </w:rPr>
        <w:t>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一、关于皮山县藏桂乡人民政府2023年收支预算情况的总体说明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二、关于皮山县藏桂乡人民政府2023年收入预算情况说明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三、关于皮山县藏桂乡人民政府2023年支出预算情况说明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四、关于皮山县藏桂乡人民政府2023年财政拨款收支预算情况的总体说明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五、关于皮山县藏桂乡人民政府2023年一般公共预算当年拨款情况说明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六、关于皮山县藏桂乡人民政府2023年一般公共预算基本支出情况说明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七、关于皮山县藏桂乡人民政府2023年一般公共预算项目支出情况说明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八、关于皮山县藏桂乡人民政府2023年政府性基金预算拨款情况说明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九、关于皮山县藏桂乡人民政府2023年国有资本经营预算拨款情况说明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十、关于皮山县藏桂乡人民政府2023年财政拨款“三公”经费预算情况说明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pPr>
      <w:r>
        <w:rPr>
          <w:rFonts w:ascii="黑体" w:hAnsi="黑体" w:eastAsia="黑体" w:cs="黑体"/>
          <w:position w:val="15"/>
          <w:sz w:val="32"/>
          <w:szCs w:val="32"/>
        </w:rPr>
        <w:t>第四部分名词解释</w:t>
      </w:r>
    </w:p>
    <w:p>
      <w:r>
        <w:br w:type="textWrapping"/>
      </w:r>
    </w:p>
    <w:p>
      <w:pPr>
        <w:rPr>
          <w:rFonts w:ascii="黑体" w:hAnsi="黑体" w:eastAsia="黑体" w:cs="黑体"/>
          <w:position w:val="30"/>
          <w:sz w:val="40"/>
          <w:szCs w:val="40"/>
        </w:rPr>
      </w:pPr>
      <w:r>
        <w:rPr>
          <w:rFonts w:ascii="黑体" w:hAnsi="黑体" w:eastAsia="黑体" w:cs="黑体"/>
          <w:position w:val="30"/>
          <w:sz w:val="40"/>
          <w:szCs w:val="40"/>
        </w:rPr>
        <w:br w:type="page"/>
      </w:r>
    </w:p>
    <w:p>
      <w:pPr>
        <w:jc w:val="center"/>
        <w:rPr>
          <w:rFonts w:hint="eastAsia" w:ascii="方正小标宋简体" w:hAnsi="宋体" w:eastAsia="方正小标宋简体" w:cs="Times New Roman"/>
          <w:color w:val="000000"/>
          <w:kern w:val="2"/>
          <w:sz w:val="44"/>
          <w:szCs w:val="44"/>
          <w:shd w:val="clear" w:color="auto" w:fill="FFFFFF"/>
          <w:lang w:val="en-US" w:eastAsia="zh-CN" w:bidi="ar-SA"/>
        </w:rPr>
      </w:pPr>
      <w:r>
        <w:rPr>
          <w:rFonts w:hint="eastAsia" w:ascii="方正小标宋简体" w:hAnsi="宋体" w:eastAsia="方正小标宋简体" w:cs="Times New Roman"/>
          <w:color w:val="000000"/>
          <w:kern w:val="2"/>
          <w:sz w:val="44"/>
          <w:szCs w:val="44"/>
          <w:shd w:val="clear" w:color="auto" w:fill="FFFFFF"/>
          <w:lang w:val="en-US" w:eastAsia="zh-CN" w:bidi="ar-SA"/>
        </w:rPr>
        <w:t>第一部分2023年部门概况</w:t>
      </w:r>
    </w:p>
    <w:p>
      <w:pPr>
        <w:spacing w:before="150"/>
        <w:ind w:left="200" w:right="200" w:firstLine="500"/>
        <w:jc w:val="both"/>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rPr>
        <w:t>1.制定和组织实施经济、科技和社会发展计划，制定资源开发技术改造和产业结构调整方案，组织指导好各业生产，搞好商品流通，协调好本乡与外地区的经济交流与合作，抓好招商引资，促进经济发展。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rPr>
        <w:t>2.制定并组织实施村镇建设规划，部署重点工程建设，地方道路建设及公共设施，水利设施的管理，负责土地、林木、水等自然资源和</w:t>
      </w:r>
      <w:r>
        <w:rPr>
          <w:rFonts w:hint="eastAsia" w:ascii="仿宋" w:hAnsi="仿宋" w:eastAsia="仿宋" w:cs="仿宋"/>
          <w:kern w:val="0"/>
          <w:sz w:val="32"/>
          <w:szCs w:val="32"/>
          <w:highlight w:val="none"/>
          <w:lang w:eastAsia="zh-CN"/>
        </w:rPr>
        <w:t>生态环境保护</w:t>
      </w:r>
      <w:r>
        <w:rPr>
          <w:rFonts w:hint="eastAsia" w:ascii="仿宋" w:hAnsi="仿宋" w:eastAsia="仿宋" w:cs="仿宋"/>
          <w:kern w:val="0"/>
          <w:sz w:val="32"/>
          <w:szCs w:val="32"/>
          <w:highlight w:val="none"/>
        </w:rPr>
        <w:t>，做好护林防火工作。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rPr>
        <w:t>3.负责本行政区域内的民政、文化教育、卫生、体育等社会公益事业的综合性工作，维护一切经济单位和个人的正当经济权益，取缔非法经济活动，调解和处理民事纠纷，打击刑事犯罪维护社会稳定。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4.抓好精神文明建设，丰富群众文化。提倡移风易俗，反对封建迷信，破除陈规陋习，树立社会主义新风尚。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5.完成上级政府交办的</w:t>
      </w:r>
      <w:r>
        <w:rPr>
          <w:rFonts w:hint="eastAsia" w:ascii="仿宋" w:hAnsi="仿宋" w:eastAsia="仿宋" w:cs="仿宋"/>
          <w:kern w:val="0"/>
          <w:sz w:val="32"/>
          <w:szCs w:val="32"/>
          <w:highlight w:val="none"/>
          <w:lang w:eastAsia="zh-CN"/>
        </w:rPr>
        <w:t>其他</w:t>
      </w:r>
      <w:r>
        <w:rPr>
          <w:rFonts w:hint="eastAsia" w:ascii="仿宋" w:hAnsi="仿宋" w:eastAsia="仿宋" w:cs="仿宋"/>
          <w:kern w:val="0"/>
          <w:sz w:val="32"/>
          <w:szCs w:val="32"/>
          <w:highlight w:val="none"/>
        </w:rPr>
        <w:t>事项。</w:t>
      </w:r>
    </w:p>
    <w:p>
      <w:pPr>
        <w:spacing w:before="150"/>
        <w:ind w:left="200" w:right="200" w:firstLine="500"/>
        <w:jc w:val="both"/>
        <w:rPr>
          <w:rFonts w:ascii="黑体" w:hAnsi="黑体" w:eastAsia="黑体" w:cs="黑体"/>
          <w:position w:val="20"/>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皮山县藏桂乡人民政府无下属预算单位，下设5个科室，分别是：党政办公室，党建办公室，经济发展办公室，社会事务办公室，综合执法办公室。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皮山县藏桂乡人民政府单位编制数94，实有人数170人，其中：在职146人，减少1人；退休24人，减少2人；离休0人，增加0人。</w:t>
      </w:r>
    </w:p>
    <w:p>
      <w:pPr>
        <w:ind w:left="200" w:right="200" w:firstLine="500"/>
        <w:jc w:val="both"/>
      </w:pPr>
      <w:r>
        <w:rPr>
          <w:rFonts w:ascii="仿宋" w:hAnsi="仿宋" w:eastAsia="仿宋" w:cs="仿宋"/>
          <w:position w:val="10"/>
          <w:sz w:val="34"/>
        </w:rPr>
        <w:br w:type="textWrapping"/>
      </w:r>
    </w:p>
    <w:p>
      <w:pPr>
        <w:rPr>
          <w:rFonts w:ascii="黑体" w:hAnsi="黑体" w:eastAsia="黑体" w:cs="黑体"/>
          <w:position w:val="30"/>
          <w:sz w:val="42"/>
        </w:rPr>
      </w:pPr>
      <w:r>
        <w:rPr>
          <w:rFonts w:ascii="黑体" w:hAnsi="黑体" w:eastAsia="黑体" w:cs="黑体"/>
          <w:position w:val="30"/>
          <w:sz w:val="42"/>
        </w:rPr>
        <w:br w:type="page"/>
      </w:r>
    </w:p>
    <w:p>
      <w:pPr>
        <w:jc w:val="center"/>
        <w:rPr>
          <w:rFonts w:hint="eastAsia" w:ascii="方正小标宋简体" w:hAnsi="宋体" w:eastAsia="方正小标宋简体" w:cs="Times New Roman"/>
          <w:color w:val="000000"/>
          <w:kern w:val="2"/>
          <w:sz w:val="44"/>
          <w:szCs w:val="44"/>
          <w:shd w:val="clear" w:color="auto" w:fill="FFFFFF"/>
          <w:lang w:val="en-US" w:eastAsia="zh-CN" w:bidi="ar-SA"/>
        </w:rPr>
      </w:pPr>
      <w:r>
        <w:rPr>
          <w:rFonts w:hint="eastAsia" w:ascii="方正小标宋简体" w:hAnsi="宋体" w:eastAsia="方正小标宋简体" w:cs="Times New Roman"/>
          <w:color w:val="000000"/>
          <w:kern w:val="2"/>
          <w:sz w:val="44"/>
          <w:szCs w:val="44"/>
          <w:shd w:val="clear" w:color="auto" w:fill="FFFFFF"/>
          <w:lang w:val="en-US" w:eastAsia="zh-CN" w:bidi="ar-SA"/>
        </w:rPr>
        <w:t>第二部分2023年部门预算公开表</w:t>
      </w:r>
    </w:p>
    <w:tbl>
      <w:tblPr>
        <w:tblStyle w:val="4"/>
        <w:tblW w:w="8167"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22"/>
        <w:gridCol w:w="878"/>
        <w:gridCol w:w="2829"/>
        <w:gridCol w:w="11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67"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67"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：皮山县藏桂乡人民政府</w:t>
            </w:r>
          </w:p>
        </w:tc>
        <w:tc>
          <w:tcPr>
            <w:tcW w:w="3967"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收入</w:t>
            </w:r>
          </w:p>
        </w:tc>
        <w:tc>
          <w:tcPr>
            <w:tcW w:w="396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3132.87</w:t>
            </w: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2910.36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3132.87</w:t>
            </w: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3129.87</w:t>
            </w: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355.58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208.58</w:t>
            </w: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208.58</w:t>
            </w: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208.58</w:t>
            </w: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2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8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3341.45</w:t>
            </w:r>
          </w:p>
        </w:tc>
        <w:tc>
          <w:tcPr>
            <w:tcW w:w="28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11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3341.45</w:t>
            </w:r>
          </w:p>
        </w:tc>
      </w:tr>
    </w:tbl>
    <w:p>
      <w:r>
        <w:br w:type="textWrapping"/>
      </w:r>
    </w:p>
    <w:tbl>
      <w:tblPr>
        <w:tblStyle w:val="4"/>
        <w:tblW w:w="8167"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383"/>
        <w:gridCol w:w="362"/>
        <w:gridCol w:w="1121"/>
        <w:gridCol w:w="519"/>
        <w:gridCol w:w="705"/>
        <w:gridCol w:w="622"/>
        <w:gridCol w:w="412"/>
        <w:gridCol w:w="190"/>
        <w:gridCol w:w="293"/>
        <w:gridCol w:w="643"/>
        <w:gridCol w:w="443"/>
        <w:gridCol w:w="466"/>
        <w:gridCol w:w="666"/>
        <w:gridCol w:w="525"/>
        <w:gridCol w:w="29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67"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67"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649" w:type="dxa"/>
            <w:gridSpan w:val="8"/>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：皮山县藏桂乡人民政府</w:t>
            </w:r>
          </w:p>
        </w:tc>
        <w:tc>
          <w:tcPr>
            <w:tcW w:w="3518"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0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48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22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总计</w:t>
            </w:r>
          </w:p>
        </w:tc>
        <w:tc>
          <w:tcPr>
            <w:tcW w:w="103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48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08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113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81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121" w:type="dxa"/>
          </w:tcPr>
          <w:p/>
        </w:tc>
        <w:tc>
          <w:tcPr>
            <w:tcW w:w="519" w:type="dxa"/>
          </w:tc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466" w:type="dxa"/>
          </w:tcPr>
          <w:p/>
        </w:tc>
        <w:tc>
          <w:tcPr>
            <w:tcW w:w="666" w:type="dxa"/>
          </w:tcPr>
          <w:p/>
        </w:tc>
        <w:tc>
          <w:tcPr>
            <w:tcW w:w="525" w:type="dxa"/>
          </w:tcPr>
          <w:p/>
        </w:tc>
        <w:tc>
          <w:tcPr>
            <w:tcW w:w="29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2910.36</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2778.29</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2775.29</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132.07</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71"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人大事务</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55"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代表工作</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政府办公厅（室）及相关机构事务</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2775.29</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2775.29</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2775.29</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2775.29</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2775.29</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2775.29</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群众团体事务</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52.43</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52.43</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其他群众团体事务支出</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52.43</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52.43</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trHeight w:val="520"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32</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组织事务</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69.24</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69.24</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32</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其他组织事务支出</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69.24</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69.24</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trHeight w:val="572"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641"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55"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其他统战事务支出</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54"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355.58</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354.58</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354.58</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354.58</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354.58</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354.58</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236.39</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236.39</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236.39</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118.19</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118.19</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118.19</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trHeight w:val="555"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就业补助</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其他就业补助支出</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trHeight w:val="571"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45.51</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45.51</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624"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45.51</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45.51</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710"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45.51</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45.51</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985"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8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12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1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3341.45</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3132.87</w:t>
            </w:r>
          </w:p>
        </w:tc>
        <w:tc>
          <w:tcPr>
            <w:tcW w:w="62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3129.87</w:t>
            </w:r>
          </w:p>
        </w:tc>
        <w:tc>
          <w:tcPr>
            <w:tcW w:w="41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1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208.58</w:t>
            </w:r>
          </w:p>
        </w:tc>
        <w:tc>
          <w:tcPr>
            <w:tcW w:w="292"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
    <w:p/>
    <w:p/>
    <w:p/>
    <w:p/>
    <w:tbl>
      <w:tblPr>
        <w:tblStyle w:val="4"/>
        <w:tblW w:w="8149"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1098"/>
        <w:gridCol w:w="702"/>
        <w:gridCol w:w="720"/>
        <w:gridCol w:w="326"/>
        <w:gridCol w:w="110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9" w:type="dxa"/>
            <w:gridSpan w:val="11"/>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49" w:type="dxa"/>
            <w:gridSpan w:val="11"/>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：皮山县藏桂乡人民政府</w:t>
            </w:r>
          </w:p>
        </w:tc>
        <w:tc>
          <w:tcPr>
            <w:tcW w:w="3949"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949"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93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42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42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698" w:type="dxa"/>
            <w:gridSpan w:val="2"/>
          </w:tcPr>
          <w:p/>
        </w:tc>
        <w:tc>
          <w:tcPr>
            <w:tcW w:w="702" w:type="dxa"/>
          </w:tcPr>
          <w:p/>
        </w:tc>
        <w:tc>
          <w:tcPr>
            <w:tcW w:w="1046" w:type="dxa"/>
            <w:gridSpan w:val="2"/>
          </w:tcPr>
          <w:p/>
        </w:tc>
        <w:tc>
          <w:tcPr>
            <w:tcW w:w="1103"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2910.36</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2596.69</w:t>
            </w: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313.67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人大事务</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代表工作</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政府办公厅（室）及相关机构事务</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2775.29</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2596.69</w:t>
            </w: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2775.29</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2596.69</w:t>
            </w: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群众团体事务</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52.43</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其他群众团体事务支出</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52.43</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组织事务</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69.24</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69.24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其他组织事务支出</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69.24</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69.24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其他统战事务支出</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355.58</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354.58</w:t>
            </w: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354.58</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354.58</w:t>
            </w: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236.39</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236.39</w:t>
            </w: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118.19</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118.19</w:t>
            </w: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就业补助</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其他就业补助支出</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其他农林水支出</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45.51</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45.51</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45.51</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9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7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3341.45</w:t>
            </w:r>
          </w:p>
        </w:tc>
        <w:tc>
          <w:tcPr>
            <w:tcW w:w="104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2951.27</w:t>
            </w:r>
          </w:p>
        </w:tc>
        <w:tc>
          <w:tcPr>
            <w:tcW w:w="110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390.18</w:t>
            </w:r>
          </w:p>
        </w:tc>
      </w:tr>
    </w:tbl>
    <w:p>
      <w:r>
        <w:br w:type="textWrapping"/>
      </w:r>
    </w:p>
    <w:p/>
    <w:p/>
    <w:p/>
    <w:tbl>
      <w:tblPr>
        <w:tblStyle w:val="4"/>
        <w:tblW w:w="7839"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32"/>
        <w:gridCol w:w="655"/>
        <w:gridCol w:w="2736"/>
        <w:gridCol w:w="690"/>
        <w:gridCol w:w="675"/>
        <w:gridCol w:w="465"/>
        <w:gridCol w:w="48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39"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39"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14" w:hRule="atLeast"/>
        </w:trPr>
        <w:tc>
          <w:tcPr>
            <w:tcW w:w="5523"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：皮山县藏桂乡人民政府</w:t>
            </w:r>
          </w:p>
        </w:tc>
        <w:tc>
          <w:tcPr>
            <w:tcW w:w="2316"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52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2316"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3132.87</w:t>
            </w: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2778.29</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2778.29</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一般公共预算</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3132.87</w:t>
            </w: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政府性基金预算</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16" w:hRule="atLeast"/>
        </w:trPr>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354.58</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354.58</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3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6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3132.87</w:t>
            </w:r>
          </w:p>
        </w:tc>
        <w:tc>
          <w:tcPr>
            <w:tcW w:w="27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69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3132.87</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3132.87</w:t>
            </w:r>
          </w:p>
        </w:tc>
        <w:tc>
          <w:tcPr>
            <w:tcW w:w="46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6"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
      <w:r>
        <w:br w:type="page"/>
      </w:r>
    </w:p>
    <w:p/>
    <w:tbl>
      <w:tblPr>
        <w:tblStyle w:val="4"/>
        <w:tblW w:w="8167"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840"/>
        <w:gridCol w:w="1518"/>
        <w:gridCol w:w="604"/>
        <w:gridCol w:w="398"/>
        <w:gridCol w:w="480"/>
        <w:gridCol w:w="96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67" w:type="dxa"/>
            <w:gridSpan w:val="10"/>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67" w:type="dxa"/>
            <w:gridSpan w:val="10"/>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：皮山县藏桂乡人民政府</w:t>
            </w:r>
          </w:p>
        </w:tc>
        <w:tc>
          <w:tcPr>
            <w:tcW w:w="3967"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54" w:hRule="atLeast"/>
        </w:trPr>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967"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19" w:hRule="atLeast"/>
        </w:trPr>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235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00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4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358" w:type="dxa"/>
            <w:gridSpan w:val="2"/>
          </w:tcPr>
          <w:p/>
        </w:tc>
        <w:tc>
          <w:tcPr>
            <w:tcW w:w="604" w:type="dxa"/>
          </w:tcPr>
          <w:p/>
        </w:tc>
        <w:tc>
          <w:tcPr>
            <w:tcW w:w="878" w:type="dxa"/>
            <w:gridSpan w:val="2"/>
          </w:tcPr>
          <w:p/>
        </w:tc>
        <w:tc>
          <w:tcPr>
            <w:tcW w:w="967"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trHeight w:val="503" w:hRule="atLeast"/>
        </w:trPr>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5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2778.29</w:t>
            </w:r>
          </w:p>
        </w:tc>
        <w:tc>
          <w:tcPr>
            <w:tcW w:w="87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2596.69</w:t>
            </w:r>
          </w:p>
        </w:tc>
        <w:tc>
          <w:tcPr>
            <w:tcW w:w="9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5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政府办公厅（室）及相关机构事务</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2775.29</w:t>
            </w:r>
          </w:p>
        </w:tc>
        <w:tc>
          <w:tcPr>
            <w:tcW w:w="87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2596.69</w:t>
            </w:r>
          </w:p>
        </w:tc>
        <w:tc>
          <w:tcPr>
            <w:tcW w:w="9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86" w:hRule="atLeast"/>
        </w:trPr>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35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2775.29</w:t>
            </w:r>
          </w:p>
        </w:tc>
        <w:tc>
          <w:tcPr>
            <w:tcW w:w="87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2596.69</w:t>
            </w:r>
          </w:p>
        </w:tc>
        <w:tc>
          <w:tcPr>
            <w:tcW w:w="9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51" w:hRule="atLeast"/>
        </w:trPr>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5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87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35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87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9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00" w:hRule="atLeast"/>
        </w:trPr>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5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354.58</w:t>
            </w:r>
          </w:p>
        </w:tc>
        <w:tc>
          <w:tcPr>
            <w:tcW w:w="87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354.58</w:t>
            </w:r>
          </w:p>
        </w:tc>
        <w:tc>
          <w:tcPr>
            <w:tcW w:w="96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51" w:hRule="atLeast"/>
        </w:trPr>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5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354.58</w:t>
            </w:r>
          </w:p>
        </w:tc>
        <w:tc>
          <w:tcPr>
            <w:tcW w:w="87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354.58</w:t>
            </w:r>
          </w:p>
        </w:tc>
        <w:tc>
          <w:tcPr>
            <w:tcW w:w="96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35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236.39</w:t>
            </w:r>
          </w:p>
        </w:tc>
        <w:tc>
          <w:tcPr>
            <w:tcW w:w="87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236.39</w:t>
            </w:r>
          </w:p>
        </w:tc>
        <w:tc>
          <w:tcPr>
            <w:tcW w:w="96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35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118.19</w:t>
            </w:r>
          </w:p>
        </w:tc>
        <w:tc>
          <w:tcPr>
            <w:tcW w:w="87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118.19</w:t>
            </w:r>
          </w:p>
        </w:tc>
        <w:tc>
          <w:tcPr>
            <w:tcW w:w="96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697" w:hRule="atLeast"/>
        </w:trPr>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358"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60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3132.87</w:t>
            </w:r>
          </w:p>
        </w:tc>
        <w:tc>
          <w:tcPr>
            <w:tcW w:w="878"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2951.27</w:t>
            </w:r>
          </w:p>
        </w:tc>
        <w:tc>
          <w:tcPr>
            <w:tcW w:w="96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181.6</w:t>
            </w:r>
          </w:p>
        </w:tc>
      </w:tr>
    </w:tbl>
    <w:p>
      <w:r>
        <w:br w:type="textWrapping"/>
      </w:r>
    </w:p>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08"/>
        <w:gridCol w:w="972"/>
        <w:gridCol w:w="1680"/>
        <w:gridCol w:w="1680"/>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0"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：皮山县藏桂乡人民政府</w:t>
            </w:r>
          </w:p>
        </w:tc>
        <w:tc>
          <w:tcPr>
            <w:tcW w:w="504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504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680" w:type="dxa"/>
          </w:tcPr>
          <w:p/>
        </w:tc>
        <w:tc>
          <w:tcPr>
            <w:tcW w:w="1680" w:type="dxa"/>
          </w:tcPr>
          <w:p/>
        </w:tc>
        <w:tc>
          <w:tcPr>
            <w:tcW w:w="168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2814.22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2814.22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513.44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513.44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780.69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780.69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224.9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224.9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83.11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83.11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236.39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236.39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118.19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118.19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96.03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96.03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37.73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37.73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177.29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177.29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其他工资福利支出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532.11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532.11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94.44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78.67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20" w:hRule="atLeast"/>
        </w:trPr>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20" w:hRule="atLeast"/>
        </w:trPr>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32.04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15.77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公务用车运行维护费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42.61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42.61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20" w:hRule="atLeast"/>
        </w:trPr>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37.45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37.45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68" w:hRule="atLeast"/>
        </w:trPr>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5.04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86" w:hRule="atLeast"/>
        </w:trPr>
        <w:tc>
          <w:tcPr>
            <w:tcW w:w="70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94" w:hRule="atLeast"/>
        </w:trPr>
        <w:tc>
          <w:tcPr>
            <w:tcW w:w="708"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97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2951.27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2872.60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78.67</w:t>
            </w:r>
          </w:p>
        </w:tc>
      </w:tr>
    </w:tbl>
    <w:p>
      <w:r>
        <w:br w:type="textWrapping"/>
      </w:r>
    </w:p>
    <w:p/>
    <w:p/>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8"/>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1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：皮山县藏桂乡人民政府</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c>
          <w:tcPr>
            <w:tcW w:w="525" w:type="dxa"/>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181.6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181.6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政府办公厅（室）及相关机构事务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2023年度藏桂乡永安新村监控项目</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051"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2023年自治区驻村</w:t>
            </w:r>
            <w:r>
              <w:rPr>
                <w:rFonts w:hint="eastAsia" w:ascii="仿宋" w:hAnsi="仿宋" w:eastAsia="仿宋" w:cs="仿宋"/>
                <w:position w:val="8"/>
                <w:sz w:val="20"/>
                <w:lang w:eastAsia="zh-CN"/>
              </w:rPr>
              <w:t>工作人员工作经费</w:t>
            </w:r>
            <w:r>
              <w:rPr>
                <w:rFonts w:ascii="仿宋" w:hAnsi="仿宋" w:eastAsia="仿宋" w:cs="仿宋"/>
                <w:position w:val="8"/>
                <w:sz w:val="20"/>
              </w:rPr>
              <w:t>会工作运转经费（和地财行</w:t>
            </w:r>
            <w:r>
              <w:rPr>
                <w:rFonts w:hint="eastAsia" w:ascii="仿宋" w:hAnsi="仿宋" w:eastAsia="仿宋" w:cs="仿宋"/>
                <w:position w:val="8"/>
                <w:sz w:val="20"/>
                <w:lang w:eastAsia="zh-CN"/>
              </w:rPr>
              <w:t>〔2022〕64号</w:t>
            </w:r>
            <w:r>
              <w:rPr>
                <w:rFonts w:ascii="仿宋" w:hAnsi="仿宋" w:eastAsia="仿宋" w:cs="仿宋"/>
                <w:position w:val="8"/>
                <w:sz w:val="20"/>
              </w:rPr>
              <w:t>）</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trHeight w:val="2359" w:hRule="atLeast"/>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181.6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181.6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：皮山县藏桂乡人民政府</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皮山县藏桂乡人民政府2023年没有使用政府性基金预算拨款安排的支出，政府性基金预算支出情况表为空表。</w:t>
            </w: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：皮山县藏桂乡人民政府</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皮山县藏桂乡人民政府2023年没有安排国有资本经营预算的支出，国有资本经营预算支出情况表为空表。</w:t>
            </w: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：皮山县藏桂乡人民政府</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right="200"/>
        <w:jc w:val="both"/>
        <w:rPr>
          <w:rFonts w:ascii="黑体" w:hAnsi="黑体" w:eastAsia="黑体" w:cs="黑体"/>
          <w:position w:val="30"/>
          <w:sz w:val="42"/>
        </w:rPr>
      </w:pPr>
    </w:p>
    <w:p>
      <w:pPr>
        <w:rPr>
          <w:rFonts w:ascii="黑体" w:hAnsi="黑体" w:eastAsia="黑体" w:cs="黑体"/>
          <w:position w:val="30"/>
          <w:sz w:val="42"/>
        </w:rPr>
      </w:pPr>
      <w:r>
        <w:rPr>
          <w:rFonts w:ascii="黑体" w:hAnsi="黑体" w:eastAsia="黑体" w:cs="黑体"/>
          <w:position w:val="30"/>
          <w:sz w:val="42"/>
        </w:rPr>
        <w:br w:type="page"/>
      </w:r>
    </w:p>
    <w:p>
      <w:pPr>
        <w:jc w:val="center"/>
        <w:rPr>
          <w:rFonts w:hint="eastAsia" w:ascii="方正小标宋简体" w:hAnsi="宋体" w:eastAsia="方正小标宋简体" w:cs="Times New Roman"/>
          <w:color w:val="000000"/>
          <w:kern w:val="2"/>
          <w:sz w:val="44"/>
          <w:szCs w:val="44"/>
          <w:shd w:val="clear" w:color="auto" w:fill="FFFFFF"/>
          <w:lang w:val="en-US" w:eastAsia="zh-CN" w:bidi="ar-SA"/>
        </w:rPr>
      </w:pPr>
      <w:r>
        <w:rPr>
          <w:rFonts w:hint="eastAsia" w:ascii="方正小标宋简体" w:hAnsi="宋体" w:eastAsia="方正小标宋简体" w:cs="Times New Roman"/>
          <w:color w:val="000000"/>
          <w:kern w:val="2"/>
          <w:sz w:val="44"/>
          <w:szCs w:val="44"/>
          <w:shd w:val="clear" w:color="auto" w:fill="FFFFFF"/>
          <w:lang w:val="en-US" w:eastAsia="zh-CN" w:bidi="ar-SA"/>
        </w:rPr>
        <w:t>第三部分2023年皮山县藏桂乡人民政府</w:t>
      </w:r>
    </w:p>
    <w:p>
      <w:pPr>
        <w:jc w:val="center"/>
        <w:rPr>
          <w:rFonts w:hint="eastAsia" w:ascii="方正小标宋简体" w:hAnsi="宋体" w:eastAsia="方正小标宋简体" w:cs="Times New Roman"/>
          <w:color w:val="000000"/>
          <w:kern w:val="2"/>
          <w:sz w:val="44"/>
          <w:szCs w:val="44"/>
          <w:shd w:val="clear" w:color="auto" w:fill="FFFFFF"/>
          <w:lang w:val="en-US" w:eastAsia="zh-CN" w:bidi="ar-SA"/>
        </w:rPr>
      </w:pPr>
      <w:r>
        <w:rPr>
          <w:rFonts w:hint="eastAsia" w:ascii="方正小标宋简体" w:hAnsi="宋体" w:eastAsia="方正小标宋简体" w:cs="Times New Roman"/>
          <w:color w:val="000000"/>
          <w:kern w:val="2"/>
          <w:sz w:val="44"/>
          <w:szCs w:val="44"/>
          <w:shd w:val="clear" w:color="auto" w:fill="FFFFFF"/>
          <w:lang w:val="en-US" w:eastAsia="zh-CN" w:bidi="ar-SA"/>
        </w:rPr>
        <w:t>预算情况说明</w:t>
      </w:r>
    </w:p>
    <w:p>
      <w:pPr>
        <w:spacing w:before="150"/>
        <w:ind w:left="200" w:right="200" w:firstLine="500"/>
        <w:jc w:val="both"/>
        <w:rPr>
          <w:rFonts w:hint="eastAsia" w:ascii="黑体" w:hAnsi="黑体" w:eastAsia="黑体" w:cs="黑体"/>
          <w:position w:val="20"/>
          <w:sz w:val="32"/>
          <w:szCs w:val="32"/>
          <w:lang w:val="en-US" w:eastAsia="zh-CN"/>
        </w:rPr>
      </w:pPr>
      <w:r>
        <w:rPr>
          <w:rFonts w:hint="eastAsia" w:ascii="黑体" w:hAnsi="黑体" w:eastAsia="黑体" w:cs="黑体"/>
          <w:position w:val="20"/>
          <w:sz w:val="32"/>
          <w:szCs w:val="32"/>
          <w:lang w:val="en-US" w:eastAsia="zh-CN"/>
        </w:rPr>
        <w:t>一、关于皮山县藏桂乡人民政府2023年收支预算情况的总体说明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按照全口径预算的原则，皮山县藏桂乡人民政府2023年所有收入和支出均纳入单位预算管理。收支总预算3341.45万元。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FangSong_GB2312" w:hAnsi="FangSong_GB2312" w:eastAsia="FangSong_GB2312" w:cs="FangSong_GB2312"/>
          <w:kern w:val="0"/>
          <w:sz w:val="32"/>
          <w:szCs w:val="32"/>
          <w:highlight w:val="none"/>
        </w:rPr>
      </w:pPr>
      <w:r>
        <w:rPr>
          <w:rFonts w:hint="eastAsia" w:ascii="仿宋" w:hAnsi="仿宋" w:eastAsia="仿宋" w:cs="仿宋"/>
          <w:kern w:val="0"/>
          <w:sz w:val="32"/>
          <w:szCs w:val="32"/>
          <w:highlight w:val="none"/>
        </w:rPr>
        <w:t>支出预算包括：一般公共服务支出、社会保障和就业支出、农林水支出、其他支出</w:t>
      </w:r>
      <w:r>
        <w:rPr>
          <w:rFonts w:hint="eastAsia" w:ascii="FangSong_GB2312" w:hAnsi="FangSong_GB2312" w:eastAsia="FangSong_GB2312" w:cs="FangSong_GB2312"/>
          <w:kern w:val="0"/>
          <w:sz w:val="32"/>
          <w:szCs w:val="32"/>
          <w:highlight w:val="none"/>
        </w:rPr>
        <w:t>。</w:t>
      </w:r>
    </w:p>
    <w:p>
      <w:pPr>
        <w:spacing w:before="150"/>
        <w:ind w:left="200" w:right="200" w:firstLine="500"/>
        <w:jc w:val="both"/>
        <w:rPr>
          <w:rFonts w:hint="eastAsia" w:ascii="黑体" w:hAnsi="黑体" w:eastAsia="黑体" w:cs="黑体"/>
          <w:position w:val="20"/>
          <w:sz w:val="32"/>
          <w:szCs w:val="32"/>
          <w:lang w:val="en-US" w:eastAsia="zh-CN"/>
        </w:rPr>
      </w:pPr>
      <w:r>
        <w:rPr>
          <w:rFonts w:hint="eastAsia" w:ascii="黑体" w:hAnsi="黑体" w:eastAsia="黑体" w:cs="黑体"/>
          <w:position w:val="20"/>
          <w:sz w:val="32"/>
          <w:szCs w:val="32"/>
          <w:lang w:val="en-US" w:eastAsia="zh-CN"/>
        </w:rPr>
        <w:t>二、关于皮山县藏桂乡人民政府2023年收入预算情况说明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皮山县藏桂乡人民政府收入预算3341.45万元，其中：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一般公共预算3129.87万元，占93.67%，比上年预算减少695.28万元，下降18.18%，主要原因是项目数量有所减少，项目经费减少。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上级一般公共预算安排的转移支付资金3万元，占0.09%，比上年预算增加3.00万元，增长100.00%，主要原因是预算未安排此类资金。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财政拨款结转208.58万元，占6.24%，比上年预算增加208.58万元，增长100.00%，主要原因是预算未安排此类资金。</w:t>
      </w:r>
    </w:p>
    <w:p>
      <w:pPr>
        <w:spacing w:before="150"/>
        <w:ind w:left="200" w:right="200" w:firstLine="500"/>
        <w:jc w:val="both"/>
        <w:rPr>
          <w:rFonts w:hint="eastAsia" w:ascii="黑体" w:hAnsi="黑体" w:eastAsia="黑体" w:cs="黑体"/>
          <w:position w:val="20"/>
          <w:sz w:val="32"/>
          <w:szCs w:val="32"/>
          <w:lang w:val="en-US" w:eastAsia="zh-CN"/>
        </w:rPr>
      </w:pPr>
      <w:r>
        <w:rPr>
          <w:rFonts w:hint="eastAsia" w:ascii="黑体" w:hAnsi="黑体" w:eastAsia="黑体" w:cs="黑体"/>
          <w:position w:val="20"/>
          <w:sz w:val="32"/>
          <w:szCs w:val="32"/>
          <w:lang w:val="en-US" w:eastAsia="zh-CN"/>
        </w:rPr>
        <w:t>三、关于皮山县藏桂乡人民政府2023年支出预算情况说明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皮山县藏桂乡人民政府2023年支出预算3341.45万元，其中：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基本支出2951.27万元，占88.32%，比上年预算增加387.67万元，增长15.12%，主要原因是人员工资有增加，各项社保有增加。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项目支出390.18万元，占11.68%，比上年预算减少871.37万元，下降69.07%，主要原因是项目数量有所减少，项目经费减少。</w:t>
      </w:r>
    </w:p>
    <w:p>
      <w:pPr>
        <w:spacing w:before="150"/>
        <w:ind w:left="200" w:right="200" w:firstLine="500"/>
        <w:jc w:val="both"/>
        <w:rPr>
          <w:rFonts w:hint="eastAsia" w:ascii="黑体" w:hAnsi="黑体" w:eastAsia="黑体" w:cs="黑体"/>
          <w:position w:val="20"/>
          <w:sz w:val="32"/>
          <w:szCs w:val="32"/>
          <w:lang w:val="en-US" w:eastAsia="zh-CN"/>
        </w:rPr>
      </w:pPr>
      <w:r>
        <w:rPr>
          <w:rFonts w:hint="eastAsia" w:ascii="黑体" w:hAnsi="黑体" w:eastAsia="黑体" w:cs="黑体"/>
          <w:position w:val="20"/>
          <w:sz w:val="32"/>
          <w:szCs w:val="32"/>
          <w:lang w:val="en-US" w:eastAsia="zh-CN"/>
        </w:rPr>
        <w:t>四、关于皮山县藏桂乡人民政府2023年财政拨款收支预算情况的总体说明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2023年财政拨款收支总预算3132.87万元。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收入预算包括：一般公共预算拨款3132.87万元。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一般公共预算支出包括：一般公共服务支出2778.29万元，主要用于基本工资、津贴补贴、奖金、退休费、生活补助、其他对个人的家庭的补助收入。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社会保障和就业支出354.58万元，主要用于机关事业单位基本养老保险缴费、职工基本医疗保险缴费、公务员医疗补助缴费、其他社会保障缴费等。</w:t>
      </w:r>
    </w:p>
    <w:p>
      <w:pPr>
        <w:spacing w:before="150"/>
        <w:ind w:left="200" w:right="200" w:firstLine="500"/>
        <w:jc w:val="both"/>
        <w:rPr>
          <w:rFonts w:hint="eastAsia" w:ascii="黑体" w:hAnsi="黑体" w:eastAsia="黑体" w:cs="黑体"/>
          <w:position w:val="20"/>
          <w:sz w:val="32"/>
          <w:szCs w:val="32"/>
          <w:lang w:val="en-US" w:eastAsia="zh-CN"/>
        </w:rPr>
      </w:pPr>
      <w:r>
        <w:rPr>
          <w:rFonts w:hint="eastAsia" w:ascii="黑体" w:hAnsi="黑体" w:eastAsia="黑体" w:cs="黑体"/>
          <w:position w:val="20"/>
          <w:sz w:val="32"/>
          <w:szCs w:val="32"/>
          <w:lang w:val="en-US" w:eastAsia="zh-CN"/>
        </w:rPr>
        <w:t>五、关于皮山县藏桂乡人民政府2023年一般公共预算当年拨款情况说明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FangSong_GB2312" w:hAnsi="FangSong_GB2312" w:eastAsia="FangSong_GB2312" w:cs="FangSong_GB2312"/>
          <w:b/>
          <w:bCs/>
          <w:kern w:val="0"/>
          <w:sz w:val="32"/>
          <w:szCs w:val="32"/>
          <w:highlight w:val="none"/>
          <w:lang w:val="en-US" w:eastAsia="zh-CN"/>
        </w:rPr>
      </w:pPr>
      <w:r>
        <w:rPr>
          <w:rFonts w:hint="eastAsia" w:ascii="FangSong_GB2312" w:hAnsi="FangSong_GB2312" w:eastAsia="FangSong_GB2312" w:cs="FangSong_GB2312"/>
          <w:b/>
          <w:bCs/>
          <w:kern w:val="0"/>
          <w:sz w:val="32"/>
          <w:szCs w:val="32"/>
          <w:highlight w:val="none"/>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皮山县藏桂乡人民政府2023年一般公共预算拨款合计3132.87万元，其中：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基本支出2951.27万元，比上年预算增加387.67万元，增长15.12%。主要原因是：人员工资有增加，各项社保有增加。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项目支出181.6万元，比上年预算减少1079.95万元，下降85.61%。主要原因是：项目数量有所减少，项目经费减少。</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FangSong_GB2312" w:hAnsi="FangSong_GB2312" w:eastAsia="FangSong_GB2312" w:cs="FangSong_GB2312"/>
          <w:b/>
          <w:bCs/>
          <w:kern w:val="0"/>
          <w:sz w:val="32"/>
          <w:szCs w:val="32"/>
          <w:highlight w:val="none"/>
          <w:lang w:val="en-US" w:eastAsia="zh-CN"/>
        </w:rPr>
      </w:pPr>
      <w:r>
        <w:rPr>
          <w:rFonts w:hint="eastAsia" w:ascii="FangSong_GB2312" w:hAnsi="FangSong_GB2312" w:eastAsia="FangSong_GB2312" w:cs="FangSong_GB2312"/>
          <w:b/>
          <w:bCs/>
          <w:kern w:val="0"/>
          <w:sz w:val="32"/>
          <w:szCs w:val="32"/>
          <w:highlight w:val="none"/>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1.一般公共服务支出（类）2778.29万元，占88.68%。</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2.社会保障和就业支出（类）354.58万元，占11.32%。</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FangSong_GB2312" w:hAnsi="FangSong_GB2312" w:eastAsia="FangSong_GB2312" w:cs="FangSong_GB2312"/>
          <w:b/>
          <w:bCs/>
          <w:kern w:val="0"/>
          <w:sz w:val="32"/>
          <w:szCs w:val="32"/>
          <w:highlight w:val="none"/>
          <w:lang w:val="en-US" w:eastAsia="zh-CN"/>
        </w:rPr>
      </w:pPr>
      <w:r>
        <w:rPr>
          <w:rFonts w:hint="eastAsia" w:ascii="FangSong_GB2312" w:hAnsi="FangSong_GB2312" w:eastAsia="FangSong_GB2312" w:cs="FangSong_GB2312"/>
          <w:b/>
          <w:bCs/>
          <w:kern w:val="0"/>
          <w:sz w:val="32"/>
          <w:szCs w:val="32"/>
          <w:highlight w:val="none"/>
          <w:lang w:val="en-US" w:eastAsia="zh-CN"/>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1.一般公共服务支出（类）政府办公厅（室）及相关机构事务（款）行政运行（项）:2023年预算数为2775.29万元，比上年预算数减少321.27万元，下降10.38%，主要原因是：项目数量有所减少，项目经费减少。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2.一般公共服务支出（类）统战事务（款）宗教事务（项）:2023年预算数为3万元，比上年预算数增加3.00万元，增长100.00%，主要原因是：本单位预算未安排此类资金。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3.社会保障和就业支出（类）行政事业单位养老支出（款）机关事业单位基本养老保险缴费支出（项）:2023年预算数为236.39万元，比上年预算数减少9.03万元，下降3.68%，主要原因是：缴纳社保的其他财政供养人员有所减少，人员减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4.社会保障和就业支出（类）行政事业单位养老支出（款）机关事业单位职业年金缴费支出（项）:2023年预算数为118.19万元，比上年预算数减少4.52万元，下降3.68%，主要原因是：缴纳社保的其他财政供养人员有所减少，人员减少。</w:t>
      </w:r>
    </w:p>
    <w:p>
      <w:pPr>
        <w:spacing w:before="150"/>
        <w:ind w:left="200" w:right="200" w:firstLine="500"/>
        <w:jc w:val="both"/>
        <w:rPr>
          <w:rFonts w:hint="eastAsia" w:ascii="黑体" w:hAnsi="黑体" w:eastAsia="黑体" w:cs="黑体"/>
          <w:position w:val="20"/>
          <w:sz w:val="32"/>
          <w:szCs w:val="32"/>
          <w:lang w:val="en-US" w:eastAsia="zh-CN"/>
        </w:rPr>
      </w:pPr>
      <w:r>
        <w:rPr>
          <w:rFonts w:hint="eastAsia" w:ascii="黑体" w:hAnsi="黑体" w:eastAsia="黑体" w:cs="黑体"/>
          <w:position w:val="20"/>
          <w:sz w:val="32"/>
          <w:szCs w:val="32"/>
          <w:lang w:val="en-US" w:eastAsia="zh-CN"/>
        </w:rPr>
        <w:t>六、关于皮山县藏桂乡人民政府2023年一般公共预算基本支出情况说明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皮山县藏桂乡人民政府2023年一般公共预算基本支出2951.27万元，其中：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人员经费2872.60万元，主要包括：基本工资、津贴补贴、奖金、绩效工资、机关事业单位基本养老保险缴费、职业年金缴费、城镇职工基本医疗保险缴费、公务员医疗补助缴费、其他社会保障缴费、住房公积金、其他工资福利支出、取暖费、退休费、生活补助、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FangSong_GB2312" w:hAnsi="FangSong_GB2312" w:eastAsia="FangSong_GB2312" w:cs="FangSong_GB2312"/>
          <w:kern w:val="0"/>
          <w:sz w:val="32"/>
          <w:szCs w:val="32"/>
          <w:highlight w:val="none"/>
        </w:rPr>
      </w:pPr>
      <w:r>
        <w:rPr>
          <w:rFonts w:hint="eastAsia" w:ascii="仿宋" w:hAnsi="仿宋" w:eastAsia="仿宋" w:cs="仿宋"/>
          <w:kern w:val="0"/>
          <w:sz w:val="32"/>
          <w:szCs w:val="32"/>
          <w:highlight w:val="none"/>
        </w:rPr>
        <w:t>公用经费78.67万元，主要包括：办公费、取暖费、公务用车运行维护费。</w:t>
      </w:r>
    </w:p>
    <w:p>
      <w:pPr>
        <w:spacing w:before="150"/>
        <w:ind w:left="200" w:right="200" w:firstLine="500"/>
        <w:jc w:val="both"/>
        <w:rPr>
          <w:rFonts w:hint="eastAsia" w:ascii="黑体" w:hAnsi="黑体" w:eastAsia="黑体" w:cs="黑体"/>
          <w:position w:val="20"/>
          <w:sz w:val="32"/>
          <w:szCs w:val="32"/>
          <w:lang w:val="en-US" w:eastAsia="zh-CN"/>
        </w:rPr>
      </w:pPr>
      <w:bookmarkStart w:id="0" w:name="OLE_LINK1"/>
      <w:r>
        <w:rPr>
          <w:rFonts w:hint="eastAsia" w:ascii="黑体" w:hAnsi="黑体" w:eastAsia="黑体" w:cs="黑体"/>
          <w:position w:val="20"/>
          <w:sz w:val="32"/>
          <w:szCs w:val="32"/>
          <w:lang w:val="en-US" w:eastAsia="zh-CN"/>
        </w:rPr>
        <w:t>七、关于皮山县藏桂乡人民政府2023年一般公共预算项目支出情况说明</w:t>
      </w:r>
      <w:bookmarkEnd w:id="0"/>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项目名称：2023年度藏桂乡永安新村监控项目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设立的政策依据：</w:t>
      </w:r>
      <w:r>
        <w:rPr>
          <w:rFonts w:hint="eastAsia" w:ascii="仿宋" w:hAnsi="仿宋" w:eastAsia="仿宋" w:cs="仿宋"/>
          <w:kern w:val="0"/>
          <w:sz w:val="32"/>
          <w:szCs w:val="32"/>
          <w:highlight w:val="none"/>
          <w:lang w:eastAsia="zh-CN"/>
        </w:rPr>
        <w:t>关于</w:t>
      </w:r>
      <w:r>
        <w:rPr>
          <w:rFonts w:hint="eastAsia" w:ascii="仿宋" w:hAnsi="仿宋" w:eastAsia="仿宋" w:cs="仿宋"/>
          <w:kern w:val="0"/>
          <w:sz w:val="32"/>
          <w:szCs w:val="32"/>
          <w:highlight w:val="none"/>
        </w:rPr>
        <w:t>藏桂乡永安新村监控项目</w:t>
      </w:r>
      <w:r>
        <w:rPr>
          <w:rFonts w:hint="eastAsia" w:ascii="仿宋" w:hAnsi="仿宋" w:eastAsia="仿宋" w:cs="仿宋"/>
          <w:kern w:val="0"/>
          <w:sz w:val="32"/>
          <w:szCs w:val="32"/>
          <w:highlight w:val="none"/>
          <w:lang w:eastAsia="zh-CN"/>
        </w:rPr>
        <w:t>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rPr>
        <w:t>预算安排规模：</w:t>
      </w:r>
      <w:r>
        <w:rPr>
          <w:rFonts w:hint="eastAsia" w:ascii="仿宋" w:hAnsi="仿宋" w:eastAsia="仿宋" w:cs="仿宋"/>
          <w:kern w:val="0"/>
          <w:sz w:val="32"/>
          <w:szCs w:val="32"/>
          <w:highlight w:val="none"/>
          <w:lang w:val="en-US" w:eastAsia="zh-CN"/>
        </w:rPr>
        <w:t>178.6万元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rPr>
        <w:t>项目承担单位：</w:t>
      </w:r>
      <w:r>
        <w:rPr>
          <w:rFonts w:hint="eastAsia" w:ascii="仿宋" w:hAnsi="仿宋" w:eastAsia="仿宋" w:cs="仿宋"/>
          <w:kern w:val="0"/>
          <w:sz w:val="32"/>
          <w:szCs w:val="32"/>
          <w:highlight w:val="none"/>
          <w:lang w:val="en-US" w:eastAsia="zh-CN"/>
        </w:rPr>
        <w:t>皮山县藏桂乡人民政府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rPr>
        <w:t>资金分配情况：</w:t>
      </w:r>
      <w:r>
        <w:rPr>
          <w:rFonts w:hint="eastAsia" w:ascii="仿宋" w:hAnsi="仿宋" w:eastAsia="仿宋" w:cs="仿宋"/>
          <w:kern w:val="0"/>
          <w:sz w:val="32"/>
          <w:szCs w:val="32"/>
          <w:highlight w:val="none"/>
          <w:lang w:val="en-US" w:eastAsia="zh-CN"/>
        </w:rPr>
        <w:t>项目款178.6万元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rPr>
        <w:t>资金执行时间：</w:t>
      </w:r>
      <w:r>
        <w:rPr>
          <w:rFonts w:hint="eastAsia" w:ascii="仿宋" w:hAnsi="仿宋" w:eastAsia="仿宋" w:cs="仿宋"/>
          <w:kern w:val="0"/>
          <w:sz w:val="32"/>
          <w:szCs w:val="32"/>
          <w:highlight w:val="none"/>
          <w:lang w:val="en-US" w:eastAsia="zh-CN"/>
        </w:rPr>
        <w:t>2023年1月1日—2023年12月31日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项目名称：2023年自治区驻村</w:t>
      </w:r>
      <w:r>
        <w:rPr>
          <w:rFonts w:hint="eastAsia" w:ascii="仿宋" w:hAnsi="仿宋" w:eastAsia="仿宋" w:cs="仿宋"/>
          <w:kern w:val="0"/>
          <w:sz w:val="32"/>
          <w:szCs w:val="32"/>
          <w:highlight w:val="none"/>
          <w:lang w:eastAsia="zh-CN"/>
        </w:rPr>
        <w:t>工作人员工作经费</w:t>
      </w:r>
      <w:r>
        <w:rPr>
          <w:rFonts w:hint="eastAsia" w:ascii="仿宋" w:hAnsi="仿宋" w:eastAsia="仿宋" w:cs="仿宋"/>
          <w:kern w:val="0"/>
          <w:sz w:val="32"/>
          <w:szCs w:val="32"/>
          <w:highlight w:val="none"/>
        </w:rPr>
        <w:t>会工作运转经费</w:t>
      </w:r>
      <w:r>
        <w:rPr>
          <w:rFonts w:hint="eastAsia" w:ascii="仿宋" w:hAnsi="仿宋" w:eastAsia="仿宋" w:cs="仿宋"/>
          <w:kern w:val="0"/>
          <w:sz w:val="32"/>
          <w:szCs w:val="32"/>
          <w:highlight w:val="none"/>
          <w:lang w:val="en-US" w:eastAsia="zh-CN"/>
        </w:rPr>
        <w:t>-</w:t>
      </w:r>
      <w:r>
        <w:rPr>
          <w:rFonts w:hint="eastAsia" w:ascii="仿宋" w:hAnsi="仿宋" w:eastAsia="仿宋" w:cs="仿宋"/>
          <w:kern w:val="0"/>
          <w:sz w:val="32"/>
          <w:szCs w:val="32"/>
          <w:highlight w:val="none"/>
        </w:rPr>
        <w:t>（和地财行</w:t>
      </w:r>
      <w:r>
        <w:rPr>
          <w:rFonts w:hint="eastAsia" w:ascii="仿宋" w:hAnsi="仿宋" w:eastAsia="仿宋" w:cs="仿宋"/>
          <w:kern w:val="0"/>
          <w:sz w:val="32"/>
          <w:szCs w:val="32"/>
          <w:highlight w:val="none"/>
          <w:lang w:eastAsia="zh-CN"/>
        </w:rPr>
        <w:t>〔2022〕64号</w:t>
      </w:r>
      <w:r>
        <w:rPr>
          <w:rFonts w:hint="eastAsia" w:ascii="仿宋" w:hAnsi="仿宋" w:eastAsia="仿宋" w:cs="仿宋"/>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rPr>
        <w:t>设立的政策依据：和地财行</w:t>
      </w:r>
      <w:r>
        <w:rPr>
          <w:rFonts w:hint="eastAsia" w:ascii="仿宋" w:hAnsi="仿宋" w:eastAsia="仿宋" w:cs="仿宋"/>
          <w:kern w:val="0"/>
          <w:sz w:val="32"/>
          <w:szCs w:val="32"/>
          <w:highlight w:val="none"/>
          <w:lang w:eastAsia="zh-CN"/>
        </w:rPr>
        <w:t>〔2022〕64号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rPr>
        <w:t>预算安排规模：</w:t>
      </w:r>
      <w:r>
        <w:rPr>
          <w:rFonts w:hint="eastAsia" w:ascii="仿宋" w:hAnsi="仿宋" w:eastAsia="仿宋" w:cs="仿宋"/>
          <w:kern w:val="0"/>
          <w:sz w:val="32"/>
          <w:szCs w:val="32"/>
          <w:highlight w:val="none"/>
          <w:lang w:val="en-US" w:eastAsia="zh-CN"/>
        </w:rPr>
        <w:t>3万元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rPr>
        <w:t>项目承担单位：</w:t>
      </w:r>
      <w:r>
        <w:rPr>
          <w:rFonts w:hint="eastAsia" w:ascii="仿宋" w:hAnsi="仿宋" w:eastAsia="仿宋" w:cs="仿宋"/>
          <w:kern w:val="0"/>
          <w:sz w:val="32"/>
          <w:szCs w:val="32"/>
          <w:highlight w:val="none"/>
          <w:lang w:val="en-US" w:eastAsia="zh-CN"/>
        </w:rPr>
        <w:t>皮山县藏桂乡人民政府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rPr>
        <w:t>资金分配情况：</w:t>
      </w:r>
      <w:r>
        <w:rPr>
          <w:rFonts w:hint="eastAsia" w:ascii="仿宋" w:hAnsi="仿宋" w:eastAsia="仿宋" w:cs="仿宋"/>
          <w:kern w:val="0"/>
          <w:sz w:val="32"/>
          <w:szCs w:val="32"/>
          <w:highlight w:val="none"/>
          <w:lang w:val="en-US" w:eastAsia="zh-CN"/>
        </w:rPr>
        <w:t>项目款3万元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rPr>
        <w:t>资金执行时间：</w:t>
      </w:r>
      <w:r>
        <w:rPr>
          <w:rFonts w:hint="eastAsia" w:ascii="仿宋" w:hAnsi="仿宋" w:eastAsia="仿宋" w:cs="仿宋"/>
          <w:kern w:val="0"/>
          <w:sz w:val="32"/>
          <w:szCs w:val="32"/>
          <w:highlight w:val="none"/>
          <w:lang w:val="en-US" w:eastAsia="zh-CN"/>
        </w:rPr>
        <w:t>2023年1月1日-2023年12月31日</w:t>
      </w:r>
    </w:p>
    <w:p>
      <w:pPr>
        <w:spacing w:before="150"/>
        <w:ind w:left="200" w:right="200" w:firstLine="500"/>
        <w:jc w:val="both"/>
        <w:rPr>
          <w:rFonts w:hint="eastAsia" w:ascii="黑体" w:hAnsi="黑体" w:eastAsia="黑体" w:cs="黑体"/>
          <w:position w:val="20"/>
          <w:sz w:val="32"/>
          <w:szCs w:val="32"/>
          <w:lang w:val="en-US" w:eastAsia="zh-CN"/>
        </w:rPr>
      </w:pPr>
      <w:r>
        <w:rPr>
          <w:rFonts w:hint="eastAsia" w:ascii="黑体" w:hAnsi="黑体" w:eastAsia="黑体" w:cs="黑体"/>
          <w:position w:val="20"/>
          <w:sz w:val="32"/>
          <w:szCs w:val="32"/>
          <w:lang w:val="en-US" w:eastAsia="zh-CN"/>
        </w:rPr>
        <w:t>八、关于皮山县藏桂乡人民政府2023年政府性基金预算拨款情况说明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lang w:val="en-US" w:eastAsia="zh-CN"/>
        </w:rPr>
        <w:t>皮山县藏桂乡人民政府2023年没有使用政府性基金预算拨款安排的支出，政府性基金预算支出情况表为空</w:t>
      </w:r>
      <w:r>
        <w:rPr>
          <w:rFonts w:hint="eastAsia" w:ascii="仿宋" w:hAnsi="仿宋" w:eastAsia="仿宋" w:cs="仿宋"/>
          <w:kern w:val="0"/>
          <w:sz w:val="32"/>
          <w:szCs w:val="32"/>
          <w:highlight w:val="none"/>
        </w:rPr>
        <w:t>表。</w:t>
      </w:r>
    </w:p>
    <w:p>
      <w:pPr>
        <w:spacing w:before="150"/>
        <w:ind w:left="200" w:right="200" w:firstLine="500"/>
        <w:jc w:val="both"/>
        <w:rPr>
          <w:rFonts w:hint="eastAsia" w:ascii="黑体" w:hAnsi="黑体" w:eastAsia="黑体" w:cs="黑体"/>
          <w:position w:val="20"/>
          <w:sz w:val="32"/>
          <w:szCs w:val="32"/>
          <w:lang w:val="en-US" w:eastAsia="zh-CN"/>
        </w:rPr>
      </w:pPr>
      <w:r>
        <w:rPr>
          <w:rFonts w:hint="eastAsia" w:ascii="黑体" w:hAnsi="黑体" w:eastAsia="黑体" w:cs="黑体"/>
          <w:position w:val="20"/>
          <w:sz w:val="32"/>
          <w:szCs w:val="32"/>
          <w:lang w:val="en-US" w:eastAsia="zh-CN"/>
        </w:rPr>
        <w:t>九、关于皮山县藏桂乡人民政府2023年国有资本经营预算拨款情况说明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皮山县藏桂乡人民政府2023年没有使用国有资本经营预算拨款安排的支出，国有资本经营预算支出情况表为空表。</w:t>
      </w:r>
    </w:p>
    <w:p>
      <w:pPr>
        <w:spacing w:before="150"/>
        <w:ind w:left="200" w:right="200" w:firstLine="500"/>
        <w:jc w:val="both"/>
        <w:rPr>
          <w:rFonts w:hint="eastAsia" w:ascii="黑体" w:hAnsi="黑体" w:eastAsia="黑体" w:cs="黑体"/>
          <w:position w:val="20"/>
          <w:sz w:val="32"/>
          <w:szCs w:val="32"/>
          <w:lang w:val="en-US" w:eastAsia="zh-CN"/>
        </w:rPr>
      </w:pPr>
      <w:r>
        <w:rPr>
          <w:rFonts w:hint="eastAsia" w:ascii="黑体" w:hAnsi="黑体" w:eastAsia="黑体" w:cs="黑体"/>
          <w:position w:val="20"/>
          <w:sz w:val="32"/>
          <w:szCs w:val="32"/>
          <w:lang w:val="en-US" w:eastAsia="zh-CN"/>
        </w:rPr>
        <w:t>十、关于皮山县藏桂乡人民政府2023年财政拨款“三公”经费预算情况说明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皮山县藏桂乡人民政府2023年财政拨款“三公”经费数为4万元，其中：因公出国（境）费0万元，公务用车购置费0万元，公务用车运行费4万元，公务接待费0万元。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rPr>
      </w:pPr>
      <w:r>
        <w:rPr>
          <w:rFonts w:hint="eastAsia" w:ascii="仿宋" w:hAnsi="仿宋" w:eastAsia="仿宋" w:cs="仿宋"/>
          <w:kern w:val="0"/>
          <w:sz w:val="32"/>
          <w:szCs w:val="32"/>
          <w:highlight w:val="none"/>
          <w:lang w:val="en-US" w:eastAsia="zh-CN"/>
        </w:rPr>
        <w:t>因公出国（境）费增加0万元，增长0%，主要原因是本单位预算未安排此类资金。公务用车购置费增加0万元，增长0%，主要原因是本单位预算未安排此类资金。公务用车运行费增加0万元，增长0%，主要原因是单位共有两辆公务用车，按照每车每年2万元标准，制定预算。公务接待费增加0万元，增长0%，主要原因是本单位预算未安排此类资金。</w:t>
      </w:r>
    </w:p>
    <w:p>
      <w:pPr>
        <w:spacing w:before="150"/>
        <w:ind w:left="200" w:right="200" w:firstLine="500"/>
        <w:jc w:val="both"/>
        <w:rPr>
          <w:rFonts w:hint="eastAsia" w:ascii="黑体" w:hAnsi="黑体" w:eastAsia="黑体" w:cs="黑体"/>
          <w:position w:val="20"/>
          <w:sz w:val="32"/>
          <w:szCs w:val="32"/>
          <w:lang w:val="en-US" w:eastAsia="zh-CN"/>
        </w:rPr>
      </w:pPr>
      <w:r>
        <w:rPr>
          <w:rFonts w:hint="eastAsia" w:ascii="黑体" w:hAnsi="黑体" w:eastAsia="黑体" w:cs="黑体"/>
          <w:position w:val="20"/>
          <w:sz w:val="32"/>
          <w:szCs w:val="32"/>
          <w:lang w:val="en-US" w:eastAsia="zh-CN"/>
        </w:rPr>
        <w:t>十一、其他重要事项的情况说明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_GB2312" w:hAnsi="楷体_GB2312" w:eastAsia="楷体_GB2312" w:cs="楷体_GB2312"/>
          <w:b/>
          <w:bCs/>
          <w:kern w:val="0"/>
          <w:sz w:val="32"/>
          <w:szCs w:val="32"/>
          <w:highlight w:val="none"/>
          <w:lang w:val="en-US" w:eastAsia="zh-CN"/>
        </w:rPr>
      </w:pPr>
      <w:r>
        <w:rPr>
          <w:rFonts w:hint="eastAsia" w:ascii="楷体_GB2312" w:hAnsi="楷体_GB2312" w:eastAsia="楷体_GB2312" w:cs="楷体_GB2312"/>
          <w:b/>
          <w:bCs/>
          <w:kern w:val="0"/>
          <w:sz w:val="32"/>
          <w:szCs w:val="32"/>
          <w:highlight w:val="none"/>
          <w:lang w:val="en-US" w:eastAsia="zh-CN"/>
        </w:rPr>
        <w:t>（一）机关运行经费情况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2023年，皮山县藏桂乡人民政府本级及下属1家行政单位和0家事业单位的机关运行经费财政拨款预算78.67万元，比上年预算增加16.67万元，增长26.89%。主要原因是因开展各项主题教育及专项活动，办公经费有所增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_GB2312" w:hAnsi="楷体_GB2312" w:eastAsia="楷体_GB2312" w:cs="楷体_GB2312"/>
          <w:b/>
          <w:bCs/>
          <w:kern w:val="0"/>
          <w:sz w:val="32"/>
          <w:szCs w:val="32"/>
          <w:highlight w:val="none"/>
          <w:lang w:val="en-US" w:eastAsia="zh-CN"/>
        </w:rPr>
      </w:pPr>
      <w:r>
        <w:rPr>
          <w:rFonts w:hint="eastAsia" w:ascii="楷体_GB2312" w:hAnsi="楷体_GB2312" w:eastAsia="楷体_GB2312" w:cs="楷体_GB2312"/>
          <w:b/>
          <w:bCs/>
          <w:kern w:val="0"/>
          <w:sz w:val="32"/>
          <w:szCs w:val="32"/>
          <w:highlight w:val="none"/>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2023年，皮山县藏桂乡人民政府政府采购预算0万元，其中：政府采购货物预算0万元，政府采购工程预算0万元，政府采购服务预算0万元。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_GB2312" w:hAnsi="楷体_GB2312" w:eastAsia="楷体_GB2312" w:cs="楷体_GB2312"/>
          <w:b/>
          <w:bCs/>
          <w:kern w:val="0"/>
          <w:sz w:val="32"/>
          <w:szCs w:val="32"/>
          <w:highlight w:val="none"/>
          <w:lang w:val="en-US" w:eastAsia="zh-CN"/>
        </w:rPr>
      </w:pPr>
      <w:r>
        <w:rPr>
          <w:rFonts w:hint="eastAsia" w:ascii="楷体_GB2312" w:hAnsi="楷体_GB2312" w:eastAsia="楷体_GB2312" w:cs="楷体_GB2312"/>
          <w:b/>
          <w:bCs/>
          <w:kern w:val="0"/>
          <w:sz w:val="32"/>
          <w:szCs w:val="32"/>
          <w:highlight w:val="none"/>
          <w:lang w:val="en-US" w:eastAsia="zh-CN"/>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截至2022年底，皮山县藏桂乡人民政府及下属各预算单位占用使用国有资产总体情况为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1.房屋5403.42平方米，价值570.93万元。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2.车辆2辆，价值28.76万元；其中：一般公务用车2辆，价值28.76万元；执法执勤用车0辆，价值0万元；其他车辆0辆，价值0万元。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3.办公家具价值0万元。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4.其他资产价值0万元。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楷体_GB2312" w:hAnsi="楷体_GB2312" w:eastAsia="楷体_GB2312" w:cs="楷体_GB2312"/>
          <w:b/>
          <w:bCs/>
          <w:kern w:val="0"/>
          <w:sz w:val="32"/>
          <w:szCs w:val="32"/>
          <w:highlight w:val="none"/>
          <w:lang w:val="en-US" w:eastAsia="zh-CN"/>
        </w:rPr>
      </w:pPr>
      <w:r>
        <w:rPr>
          <w:rFonts w:hint="eastAsia" w:ascii="楷体_GB2312" w:hAnsi="楷体_GB2312" w:eastAsia="楷体_GB2312" w:cs="楷体_GB2312"/>
          <w:b/>
          <w:bCs/>
          <w:kern w:val="0"/>
          <w:sz w:val="32"/>
          <w:szCs w:val="32"/>
          <w:highlight w:val="none"/>
          <w:lang w:val="en-US" w:eastAsia="zh-CN"/>
        </w:rPr>
        <w:t>（四）预算绩效情况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2023年，本年度预算绩效管理的财政拨款项目2个，涉及预算金额181.6万元；非财政拨款项目0个，涉及预算金额0万元。</w:t>
      </w: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right="2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tbl>
      <w:tblPr>
        <w:tblStyle w:val="4"/>
        <w:tblW w:w="921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9"/>
        <w:gridCol w:w="919"/>
        <w:gridCol w:w="1462"/>
        <w:gridCol w:w="718"/>
        <w:gridCol w:w="782"/>
        <w:gridCol w:w="1040"/>
        <w:gridCol w:w="888"/>
        <w:gridCol w:w="1512"/>
        <w:gridCol w:w="9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22" w:hRule="atLeast"/>
        </w:trPr>
        <w:tc>
          <w:tcPr>
            <w:tcW w:w="9216"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8"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39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皮山县藏桂乡人民政府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68"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2023年度藏桂乡永安新村监控项目</w:t>
            </w:r>
          </w:p>
        </w:tc>
        <w:tc>
          <w:tcPr>
            <w:tcW w:w="192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段卫国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5"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178.6</w:t>
            </w:r>
          </w:p>
        </w:tc>
        <w:tc>
          <w:tcPr>
            <w:tcW w:w="78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178.6</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6" w:hRule="atLeast"/>
        </w:trPr>
        <w:tc>
          <w:tcPr>
            <w:tcW w:w="18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398"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根据《关于藏桂乡永安新村监控费用的申请报告》要求，为了更好地推进永安新村的维稳工作，永安新村安装监控设备，保障县基层服务工作正常进行，维护乡村安全。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3" w:hRule="atLeast"/>
        </w:trPr>
        <w:tc>
          <w:tcPr>
            <w:tcW w:w="89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1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46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71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7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10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151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9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8" w:hRule="atLeast"/>
        </w:trPr>
        <w:tc>
          <w:tcPr>
            <w:tcW w:w="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安装监控摄像头</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166个</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8"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采购油木杆数量</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≥240根</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7"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采购水泥管数量</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≥50根</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77"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设备验收合格率</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8"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监控设备安装到位率</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38" w:hRule="atLeast"/>
        </w:trPr>
        <w:tc>
          <w:tcPr>
            <w:tcW w:w="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设备采购完成及时率</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03"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设备成本标准</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t>10759.04元/个</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8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4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保障县基层服务工作正常进行</w:t>
            </w: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有效保障</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0"/>
                <w:szCs w:val="20"/>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tbl>
      <w:tblPr>
        <w:tblStyle w:val="4"/>
        <w:tblW w:w="95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53"/>
        <w:gridCol w:w="997"/>
        <w:gridCol w:w="1532"/>
        <w:gridCol w:w="1374"/>
        <w:gridCol w:w="533"/>
        <w:gridCol w:w="1466"/>
        <w:gridCol w:w="702"/>
        <w:gridCol w:w="17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60" w:hRule="atLeast"/>
        </w:trPr>
        <w:tc>
          <w:tcPr>
            <w:tcW w:w="95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lang w:val="en-US" w:eastAsia="zh-CN" w:bidi="ar"/>
              </w:rPr>
              <w:t>项</w:t>
            </w:r>
            <w:r>
              <w:rPr>
                <w:rStyle w:val="6"/>
                <w:lang w:val="en-US" w:eastAsia="zh-CN" w:bidi="ar"/>
              </w:rPr>
              <w:t>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95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lang w:val="en-US" w:eastAsia="zh-CN" w:bidi="ar"/>
              </w:rPr>
              <w:t>(2023年)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预算单位</w:t>
            </w:r>
          </w:p>
        </w:tc>
        <w:tc>
          <w:tcPr>
            <w:tcW w:w="739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bidi="ar"/>
              </w:rPr>
              <w:t>皮山县藏桂乡人民政府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b/>
                <w:bCs/>
                <w:i w:val="0"/>
                <w:iCs w:val="0"/>
                <w:color w:val="000000"/>
                <w:sz w:val="22"/>
                <w:szCs w:val="22"/>
                <w:u w:val="none"/>
              </w:rPr>
            </w:pPr>
            <w:r>
              <w:rPr>
                <w:rFonts w:hint="default" w:ascii="Arial" w:hAnsi="Arial" w:eastAsia="宋体" w:cs="Arial"/>
                <w:b/>
                <w:bCs/>
                <w:i w:val="0"/>
                <w:iCs w:val="0"/>
                <w:color w:val="000000"/>
                <w:kern w:val="0"/>
                <w:sz w:val="22"/>
                <w:szCs w:val="22"/>
                <w:u w:val="none"/>
                <w:lang w:val="en-US" w:eastAsia="zh-CN" w:bidi="ar"/>
              </w:rPr>
              <w:t>项目编码及名称</w:t>
            </w:r>
          </w:p>
        </w:tc>
        <w:tc>
          <w:tcPr>
            <w:tcW w:w="290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Calibri" w:hAnsi="Calibri" w:eastAsia="宋体" w:cs="Calibri"/>
                <w:i w:val="0"/>
                <w:iCs w:val="0"/>
                <w:color w:val="000000"/>
                <w:sz w:val="22"/>
                <w:szCs w:val="22"/>
                <w:u w:val="none"/>
              </w:rPr>
            </w:pPr>
            <w:r>
              <w:rPr>
                <w:rStyle w:val="7"/>
                <w:rFonts w:eastAsia="宋体"/>
                <w:lang w:val="en-US" w:eastAsia="zh-CN" w:bidi="ar"/>
              </w:rPr>
              <w:t>202</w:t>
            </w:r>
            <w:r>
              <w:rPr>
                <w:rStyle w:val="7"/>
                <w:rFonts w:hint="eastAsia" w:eastAsia="宋体"/>
                <w:lang w:val="en-US" w:eastAsia="zh-CN" w:bidi="ar"/>
              </w:rPr>
              <w:t>3</w:t>
            </w:r>
            <w:r>
              <w:rPr>
                <w:rStyle w:val="8"/>
                <w:lang w:val="en-US" w:eastAsia="zh-CN" w:bidi="ar"/>
              </w:rPr>
              <w:t>年自治区驻村工作运转经费（和地财行</w:t>
            </w:r>
            <w:r>
              <w:rPr>
                <w:rStyle w:val="8"/>
                <w:rFonts w:hint="eastAsia"/>
                <w:lang w:val="en-US" w:eastAsia="zh-CN" w:bidi="ar"/>
              </w:rPr>
              <w:t>〔2022〕24号</w:t>
            </w:r>
            <w:r>
              <w:rPr>
                <w:rStyle w:val="8"/>
                <w:lang w:val="en-US" w:eastAsia="zh-CN" w:bidi="ar"/>
              </w:rPr>
              <w:t>）</w:t>
            </w:r>
          </w:p>
        </w:tc>
        <w:tc>
          <w:tcPr>
            <w:tcW w:w="27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项目负责人</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艾合买提江</w:t>
            </w:r>
            <w:r>
              <w:rPr>
                <w:rStyle w:val="7"/>
                <w:rFonts w:eastAsia="宋体"/>
                <w:lang w:val="en-US" w:eastAsia="zh-CN" w:bidi="ar"/>
              </w:rPr>
              <w:t>·</w:t>
            </w:r>
            <w:r>
              <w:rPr>
                <w:rStyle w:val="8"/>
                <w:lang w:val="en-US" w:eastAsia="zh-CN" w:bidi="ar"/>
              </w:rPr>
              <w:t>艾尔肯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0" w:hRule="atLeast"/>
        </w:trPr>
        <w:tc>
          <w:tcPr>
            <w:tcW w:w="21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lang w:val="en-US" w:eastAsia="zh-CN" w:bidi="ar"/>
              </w:rPr>
              <w:t>项目资金（万元）</w:t>
            </w: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Style w:val="8"/>
                <w:lang w:val="en-US" w:eastAsia="zh-CN" w:bidi="ar"/>
              </w:rPr>
              <w:t>万</w:t>
            </w:r>
          </w:p>
        </w:tc>
        <w:tc>
          <w:tcPr>
            <w:tcW w:w="13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lang w:val="en-US" w:eastAsia="zh-CN" w:bidi="ar"/>
              </w:rPr>
              <w:t>其中：财政拨款</w:t>
            </w:r>
          </w:p>
        </w:tc>
        <w:tc>
          <w:tcPr>
            <w:tcW w:w="27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r>
              <w:rPr>
                <w:rStyle w:val="8"/>
                <w:lang w:val="en-US" w:eastAsia="zh-CN" w:bidi="ar"/>
              </w:rPr>
              <w:t>万</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Calibri" w:hAnsi="Calibri" w:eastAsia="宋体" w:cs="Calibri"/>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lang w:val="en-US" w:eastAsia="zh-CN" w:bidi="ar"/>
              </w:rPr>
              <w:t>项目总体目标</w:t>
            </w:r>
          </w:p>
        </w:tc>
        <w:tc>
          <w:tcPr>
            <w:tcW w:w="838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坚持依法行政</w:t>
            </w:r>
            <w:r>
              <w:rPr>
                <w:rStyle w:val="7"/>
                <w:rFonts w:eastAsia="宋体"/>
                <w:lang w:val="en-US" w:eastAsia="zh-CN" w:bidi="ar"/>
              </w:rPr>
              <w:t>,</w:t>
            </w:r>
            <w:r>
              <w:rPr>
                <w:rStyle w:val="8"/>
                <w:lang w:val="en-US" w:eastAsia="zh-CN" w:bidi="ar"/>
              </w:rPr>
              <w:t>严格规章制度和办事程序</w:t>
            </w:r>
            <w:r>
              <w:rPr>
                <w:rStyle w:val="7"/>
                <w:rFonts w:eastAsia="宋体"/>
                <w:lang w:val="en-US" w:eastAsia="zh-CN" w:bidi="ar"/>
              </w:rPr>
              <w:t>,</w:t>
            </w:r>
            <w:r>
              <w:rPr>
                <w:rStyle w:val="8"/>
                <w:lang w:val="en-US" w:eastAsia="zh-CN" w:bidi="ar"/>
              </w:rPr>
              <w:t>实行科学民主决策；为了保障社会稳定和长治久安的总目标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0" w:hRule="atLeast"/>
        </w:trPr>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b/>
                <w:bCs/>
                <w:i w:val="0"/>
                <w:iCs w:val="0"/>
                <w:color w:val="000000"/>
                <w:sz w:val="22"/>
                <w:szCs w:val="22"/>
                <w:u w:val="none"/>
              </w:rPr>
            </w:pPr>
            <w:r>
              <w:rPr>
                <w:rFonts w:hint="default" w:ascii="Arial" w:hAnsi="Arial" w:eastAsia="宋体" w:cs="Arial"/>
                <w:b/>
                <w:bCs/>
                <w:i w:val="0"/>
                <w:iCs w:val="0"/>
                <w:color w:val="000000"/>
                <w:kern w:val="0"/>
                <w:sz w:val="22"/>
                <w:szCs w:val="22"/>
                <w:u w:val="none"/>
                <w:lang w:val="en-US" w:eastAsia="zh-CN" w:bidi="ar"/>
              </w:rPr>
              <w:t>一级指标</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b/>
                <w:bCs/>
                <w:i w:val="0"/>
                <w:iCs w:val="0"/>
                <w:color w:val="000000"/>
                <w:sz w:val="22"/>
                <w:szCs w:val="22"/>
                <w:u w:val="none"/>
              </w:rPr>
            </w:pPr>
            <w:r>
              <w:rPr>
                <w:rFonts w:hint="default" w:ascii="Arial" w:hAnsi="Arial" w:eastAsia="宋体" w:cs="Arial"/>
                <w:b/>
                <w:bCs/>
                <w:i w:val="0"/>
                <w:iCs w:val="0"/>
                <w:color w:val="000000"/>
                <w:kern w:val="0"/>
                <w:sz w:val="22"/>
                <w:szCs w:val="22"/>
                <w:u w:val="none"/>
                <w:lang w:val="en-US" w:eastAsia="zh-CN" w:bidi="ar"/>
              </w:rPr>
              <w:t>二级指标</w:t>
            </w: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b/>
                <w:bCs/>
                <w:i w:val="0"/>
                <w:iCs w:val="0"/>
                <w:color w:val="000000"/>
                <w:sz w:val="22"/>
                <w:szCs w:val="22"/>
                <w:u w:val="none"/>
              </w:rPr>
            </w:pPr>
            <w:r>
              <w:rPr>
                <w:rFonts w:hint="default" w:ascii="Arial" w:hAnsi="Arial" w:eastAsia="宋体" w:cs="Arial"/>
                <w:b/>
                <w:bCs/>
                <w:i w:val="0"/>
                <w:iCs w:val="0"/>
                <w:color w:val="000000"/>
                <w:kern w:val="0"/>
                <w:sz w:val="22"/>
                <w:szCs w:val="22"/>
                <w:u w:val="none"/>
                <w:lang w:val="en-US" w:eastAsia="zh-CN" w:bidi="ar"/>
              </w:rPr>
              <w:t>三级指标</w:t>
            </w:r>
          </w:p>
        </w:tc>
        <w:tc>
          <w:tcPr>
            <w:tcW w:w="19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b/>
                <w:bCs/>
                <w:i w:val="0"/>
                <w:iCs w:val="0"/>
                <w:color w:val="000000"/>
                <w:sz w:val="22"/>
                <w:szCs w:val="22"/>
                <w:u w:val="none"/>
              </w:rPr>
            </w:pPr>
            <w:r>
              <w:rPr>
                <w:rFonts w:hint="default" w:ascii="Arial" w:hAnsi="Arial" w:eastAsia="宋体" w:cs="Arial"/>
                <w:b/>
                <w:bCs/>
                <w:i w:val="0"/>
                <w:iCs w:val="0"/>
                <w:color w:val="000000"/>
                <w:kern w:val="0"/>
                <w:sz w:val="22"/>
                <w:szCs w:val="22"/>
                <w:u w:val="none"/>
                <w:lang w:val="en-US" w:eastAsia="zh-CN" w:bidi="ar"/>
              </w:rPr>
              <w:t>指标值</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b/>
                <w:bCs/>
                <w:i w:val="0"/>
                <w:iCs w:val="0"/>
                <w:color w:val="000000"/>
                <w:sz w:val="22"/>
                <w:szCs w:val="22"/>
                <w:u w:val="none"/>
              </w:rPr>
            </w:pPr>
            <w:r>
              <w:rPr>
                <w:rFonts w:hint="default" w:ascii="Arial" w:hAnsi="Arial" w:eastAsia="宋体" w:cs="Arial"/>
                <w:b/>
                <w:bCs/>
                <w:i w:val="0"/>
                <w:iCs w:val="0"/>
                <w:color w:val="000000"/>
                <w:kern w:val="0"/>
                <w:sz w:val="22"/>
                <w:szCs w:val="22"/>
                <w:u w:val="none"/>
                <w:lang w:val="en-US" w:eastAsia="zh-CN" w:bidi="ar"/>
              </w:rPr>
              <w:t>指标确定依据</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eastAsia="宋体" w:cs="Arial"/>
                <w:b/>
                <w:bCs/>
                <w:i w:val="0"/>
                <w:iCs w:val="0"/>
                <w:color w:val="000000"/>
                <w:sz w:val="22"/>
                <w:szCs w:val="22"/>
                <w:u w:val="none"/>
              </w:rPr>
            </w:pPr>
            <w:r>
              <w:rPr>
                <w:rFonts w:hint="default" w:ascii="Arial" w:hAnsi="Arial" w:eastAsia="宋体" w:cs="Arial"/>
                <w:b/>
                <w:bCs/>
                <w:i w:val="0"/>
                <w:iCs w:val="0"/>
                <w:color w:val="000000"/>
                <w:kern w:val="0"/>
                <w:sz w:val="22"/>
                <w:szCs w:val="22"/>
                <w:u w:val="none"/>
                <w:lang w:val="en-US" w:eastAsia="zh-CN" w:bidi="ar"/>
              </w:rPr>
              <w:t>评（扣）分标准</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b/>
                <w:bCs/>
                <w:i w:val="0"/>
                <w:iCs w:val="0"/>
                <w:color w:val="000000"/>
                <w:sz w:val="22"/>
                <w:szCs w:val="22"/>
                <w:u w:val="none"/>
              </w:rPr>
            </w:pPr>
            <w:r>
              <w:rPr>
                <w:rFonts w:ascii="宋体" w:hAnsi="宋体" w:eastAsia="宋体" w:cs="宋体"/>
                <w:b/>
                <w:bCs/>
                <w:i w:val="0"/>
                <w:iCs w:val="0"/>
                <w:color w:val="000000"/>
                <w:kern w:val="0"/>
                <w:sz w:val="22"/>
                <w:szCs w:val="22"/>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1" w:hRule="atLeast"/>
        </w:trPr>
        <w:tc>
          <w:tcPr>
            <w:tcW w:w="11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产出指标</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eastAsia" w:ascii="Calibri" w:hAnsi="Calibri" w:eastAsia="宋体" w:cs="Calibri"/>
                <w:i w:val="0"/>
                <w:iCs w:val="0"/>
                <w:color w:val="000000"/>
                <w:kern w:val="0"/>
                <w:sz w:val="22"/>
                <w:szCs w:val="22"/>
                <w:u w:val="none"/>
                <w:lang w:val="en-US" w:eastAsia="zh-CN" w:bidi="ar"/>
              </w:rPr>
              <w:t>涉及工作场地</w:t>
            </w:r>
            <w:r>
              <w:rPr>
                <w:rFonts w:hint="default" w:ascii="Calibri" w:hAnsi="Calibri" w:eastAsia="宋体" w:cs="Calibri"/>
                <w:i w:val="0"/>
                <w:iCs w:val="0"/>
                <w:color w:val="000000"/>
                <w:kern w:val="0"/>
                <w:sz w:val="22"/>
                <w:szCs w:val="22"/>
                <w:u w:val="none"/>
                <w:lang w:val="en-US" w:eastAsia="zh-CN" w:bidi="ar"/>
              </w:rPr>
              <w:t>个数</w:t>
            </w:r>
          </w:p>
        </w:tc>
        <w:tc>
          <w:tcPr>
            <w:tcW w:w="19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（和地财行〔</w:t>
            </w:r>
            <w:r>
              <w:rPr>
                <w:rStyle w:val="7"/>
                <w:rFonts w:eastAsia="宋体"/>
                <w:lang w:val="en-US" w:eastAsia="zh-CN" w:bidi="ar"/>
              </w:rPr>
              <w:t>2022</w:t>
            </w:r>
            <w:r>
              <w:rPr>
                <w:rStyle w:val="8"/>
                <w:lang w:val="en-US" w:eastAsia="zh-CN" w:bidi="ar"/>
              </w:rPr>
              <w:t>〕</w:t>
            </w:r>
            <w:r>
              <w:rPr>
                <w:rStyle w:val="7"/>
                <w:rFonts w:eastAsia="宋体"/>
                <w:lang w:val="en-US" w:eastAsia="zh-CN" w:bidi="ar"/>
              </w:rPr>
              <w:t>64</w:t>
            </w:r>
            <w:r>
              <w:rPr>
                <w:rStyle w:val="8"/>
                <w:lang w:val="en-US" w:eastAsia="zh-CN" w:bidi="ar"/>
              </w:rPr>
              <w:t>号）</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10</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6" w:hRule="atLeast"/>
        </w:trPr>
        <w:tc>
          <w:tcPr>
            <w:tcW w:w="11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000000"/>
                <w:sz w:val="22"/>
                <w:szCs w:val="22"/>
                <w:u w:val="none"/>
              </w:rPr>
            </w:pP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工作经费覆盖率</w:t>
            </w:r>
          </w:p>
        </w:tc>
        <w:tc>
          <w:tcPr>
            <w:tcW w:w="19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≥95</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（和地财行〔</w:t>
            </w:r>
            <w:r>
              <w:rPr>
                <w:rStyle w:val="7"/>
                <w:rFonts w:eastAsia="宋体"/>
                <w:lang w:val="en-US" w:eastAsia="zh-CN" w:bidi="ar"/>
              </w:rPr>
              <w:t>2022</w:t>
            </w:r>
            <w:r>
              <w:rPr>
                <w:rStyle w:val="8"/>
                <w:lang w:val="en-US" w:eastAsia="zh-CN" w:bidi="ar"/>
              </w:rPr>
              <w:t>〕</w:t>
            </w:r>
            <w:r>
              <w:rPr>
                <w:rStyle w:val="7"/>
                <w:rFonts w:eastAsia="宋体"/>
                <w:lang w:val="en-US" w:eastAsia="zh-CN" w:bidi="ar"/>
              </w:rPr>
              <w:t>64</w:t>
            </w:r>
            <w:r>
              <w:rPr>
                <w:rStyle w:val="8"/>
                <w:lang w:val="en-US" w:eastAsia="zh-CN" w:bidi="ar"/>
              </w:rPr>
              <w:t>号）</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10</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5" w:hRule="atLeast"/>
        </w:trPr>
        <w:tc>
          <w:tcPr>
            <w:tcW w:w="11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000000"/>
                <w:sz w:val="22"/>
                <w:szCs w:val="22"/>
                <w:u w:val="none"/>
              </w:rPr>
            </w:pP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经费保障及时率</w:t>
            </w:r>
          </w:p>
        </w:tc>
        <w:tc>
          <w:tcPr>
            <w:tcW w:w="19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≥95</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（和地财行〔2022〕64号）</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trPr>
        <w:tc>
          <w:tcPr>
            <w:tcW w:w="11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000000"/>
                <w:sz w:val="22"/>
                <w:szCs w:val="22"/>
                <w:u w:val="none"/>
              </w:rPr>
            </w:pP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经费金额</w:t>
            </w:r>
          </w:p>
        </w:tc>
        <w:tc>
          <w:tcPr>
            <w:tcW w:w="19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39000</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（和地财行〔2022〕64号）</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trPr>
        <w:tc>
          <w:tcPr>
            <w:tcW w:w="11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效益指标</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工作规范化常态化科学化</w:t>
            </w:r>
          </w:p>
        </w:tc>
        <w:tc>
          <w:tcPr>
            <w:tcW w:w="19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提高服务能力</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（和地财行〔2022〕64号）</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trPr>
        <w:tc>
          <w:tcPr>
            <w:tcW w:w="11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Calibri" w:hAnsi="Calibri" w:eastAsia="宋体" w:cs="Calibri"/>
                <w:i w:val="0"/>
                <w:iCs w:val="0"/>
                <w:color w:val="000000"/>
                <w:sz w:val="22"/>
                <w:szCs w:val="22"/>
                <w:u w:val="none"/>
              </w:rPr>
            </w:pP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社会效益指标</w:t>
            </w: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区域内保持和谐稳定</w:t>
            </w:r>
          </w:p>
        </w:tc>
        <w:tc>
          <w:tcPr>
            <w:tcW w:w="19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2"/>
                <w:szCs w:val="22"/>
                <w:u w:val="none"/>
              </w:rPr>
            </w:pPr>
            <w:r>
              <w:rPr>
                <w:rFonts w:ascii="宋体" w:hAnsi="宋体" w:eastAsia="宋体" w:cs="宋体"/>
                <w:i w:val="0"/>
                <w:iCs w:val="0"/>
                <w:color w:val="000000"/>
                <w:kern w:val="0"/>
                <w:sz w:val="22"/>
                <w:szCs w:val="22"/>
                <w:u w:val="none"/>
                <w:lang w:val="en-US" w:eastAsia="zh-CN" w:bidi="ar"/>
              </w:rPr>
              <w:t>提高工作效率</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（和地财行〔2022〕64号）</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0" w:hRule="atLeast"/>
        </w:trPr>
        <w:tc>
          <w:tcPr>
            <w:tcW w:w="11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满意度指标</w:t>
            </w:r>
          </w:p>
        </w:tc>
        <w:tc>
          <w:tcPr>
            <w:tcW w:w="9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服务对象满意度指标</w:t>
            </w:r>
          </w:p>
        </w:tc>
        <w:tc>
          <w:tcPr>
            <w:tcW w:w="15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群众满意度</w:t>
            </w:r>
          </w:p>
        </w:tc>
        <w:tc>
          <w:tcPr>
            <w:tcW w:w="19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≥98</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（和地财行〔2022〕64号）</w:t>
            </w:r>
          </w:p>
        </w:tc>
        <w:tc>
          <w:tcPr>
            <w:tcW w:w="7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15</w:t>
            </w:r>
          </w:p>
        </w:tc>
        <w:tc>
          <w:tcPr>
            <w:tcW w:w="17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spacing w:before="150"/>
        <w:ind w:left="200" w:right="200" w:firstLine="500"/>
        <w:jc w:val="both"/>
      </w:pPr>
      <w:r>
        <w:rPr>
          <w:rFonts w:ascii="黑体" w:hAnsi="黑体" w:eastAsia="黑体" w:cs="黑体"/>
          <w:position w:val="20"/>
          <w:sz w:val="34"/>
        </w:rPr>
        <w:t>（五）其他需说明的事项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无其他需要说明的事项。</w:t>
      </w:r>
    </w:p>
    <w:p>
      <w:pPr>
        <w:keepNext w:val="0"/>
        <w:keepLines w:val="0"/>
        <w:pageBreakBefore w:val="0"/>
        <w:widowControl w:val="0"/>
        <w:kinsoku/>
        <w:wordWrap/>
        <w:topLinePunct w:val="0"/>
        <w:autoSpaceDE/>
        <w:autoSpaceDN/>
        <w:bidi w:val="0"/>
        <w:adjustRightInd/>
        <w:snapToGrid/>
        <w:spacing w:line="540" w:lineRule="exact"/>
        <w:jc w:val="center"/>
        <w:textAlignment w:val="auto"/>
      </w:pPr>
      <w:r>
        <w:br w:type="textWrapping"/>
      </w:r>
    </w:p>
    <w:p>
      <w:r>
        <w:br w:type="page"/>
      </w:r>
    </w:p>
    <w:p>
      <w:pPr>
        <w:keepNext w:val="0"/>
        <w:keepLines w:val="0"/>
        <w:pageBreakBefore w:val="0"/>
        <w:widowControl w:val="0"/>
        <w:kinsoku/>
        <w:wordWrap/>
        <w:topLinePunct w:val="0"/>
        <w:autoSpaceDE/>
        <w:autoSpaceDN/>
        <w:bidi w:val="0"/>
        <w:adjustRightInd/>
        <w:snapToGrid/>
        <w:spacing w:line="540" w:lineRule="exact"/>
        <w:jc w:val="center"/>
        <w:textAlignment w:val="auto"/>
        <w:rPr>
          <w:rFonts w:hint="eastAsia" w:ascii="方正小标宋简体" w:hAnsi="宋体" w:eastAsia="方正小标宋简体" w:cs="Times New Roman"/>
          <w:color w:val="000000"/>
          <w:kern w:val="2"/>
          <w:sz w:val="44"/>
          <w:szCs w:val="44"/>
          <w:shd w:val="clear" w:color="auto" w:fill="FFFFFF"/>
          <w:lang w:val="en-US" w:eastAsia="zh-CN" w:bidi="ar-SA"/>
        </w:rPr>
      </w:pPr>
      <w:r>
        <w:rPr>
          <w:rFonts w:hint="eastAsia" w:ascii="方正小标宋简体" w:hAnsi="宋体" w:eastAsia="方正小标宋简体" w:cs="Times New Roman"/>
          <w:color w:val="000000"/>
          <w:kern w:val="2"/>
          <w:sz w:val="44"/>
          <w:szCs w:val="44"/>
          <w:shd w:val="clear" w:color="auto" w:fill="FFFFFF"/>
          <w:lang w:val="en-US" w:eastAsia="zh-CN" w:bidi="ar-SA"/>
        </w:rPr>
        <w:t>第四部分名词解释</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FangSong_GB2312" w:hAnsi="FangSong_GB2312" w:eastAsia="FangSong_GB2312" w:cs="FangSong_GB2312"/>
          <w:kern w:val="0"/>
          <w:sz w:val="32"/>
          <w:szCs w:val="32"/>
          <w:highlight w:val="none"/>
          <w:lang w:val="en-US" w:eastAsia="zh-CN"/>
        </w:rPr>
      </w:pPr>
      <w:r>
        <w:rPr>
          <w:rFonts w:hint="eastAsia" w:ascii="楷体_GB2312" w:hAnsi="楷体_GB2312" w:eastAsia="楷体_GB2312" w:cs="楷体_GB2312"/>
          <w:b/>
          <w:bCs/>
          <w:kern w:val="0"/>
          <w:sz w:val="32"/>
          <w:szCs w:val="32"/>
          <w:highlight w:val="none"/>
          <w:lang w:val="en-US" w:eastAsia="zh-CN"/>
        </w:rPr>
        <w:t>一、财政拨款：</w:t>
      </w:r>
      <w:r>
        <w:rPr>
          <w:rFonts w:hint="eastAsia" w:ascii="仿宋" w:hAnsi="仿宋" w:eastAsia="仿宋" w:cs="仿宋"/>
          <w:kern w:val="0"/>
          <w:sz w:val="32"/>
          <w:szCs w:val="32"/>
          <w:highlight w:val="none"/>
          <w:lang w:val="en-US" w:eastAsia="zh-CN"/>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楷体_GB2312" w:hAnsi="楷体_GB2312" w:eastAsia="楷体_GB2312" w:cs="楷体_GB2312"/>
          <w:b/>
          <w:bCs/>
          <w:kern w:val="0"/>
          <w:sz w:val="32"/>
          <w:szCs w:val="32"/>
          <w:highlight w:val="none"/>
          <w:lang w:val="en-US" w:eastAsia="zh-CN"/>
        </w:rPr>
        <w:t>二、一般公共预算：</w:t>
      </w:r>
      <w:r>
        <w:rPr>
          <w:rFonts w:hint="eastAsia" w:ascii="仿宋" w:hAnsi="仿宋" w:eastAsia="仿宋" w:cs="仿宋"/>
          <w:kern w:val="0"/>
          <w:sz w:val="32"/>
          <w:szCs w:val="32"/>
          <w:highlight w:val="none"/>
          <w:lang w:val="en-US" w:eastAsia="zh-CN"/>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FangSong_GB2312" w:hAnsi="FangSong_GB2312" w:eastAsia="FangSong_GB2312" w:cs="FangSong_GB2312"/>
          <w:kern w:val="0"/>
          <w:sz w:val="32"/>
          <w:szCs w:val="32"/>
          <w:highlight w:val="none"/>
          <w:lang w:val="en-US" w:eastAsia="zh-CN"/>
        </w:rPr>
      </w:pPr>
      <w:r>
        <w:rPr>
          <w:rFonts w:hint="eastAsia" w:ascii="楷体_GB2312" w:hAnsi="楷体_GB2312" w:eastAsia="楷体_GB2312" w:cs="楷体_GB2312"/>
          <w:b/>
          <w:bCs/>
          <w:kern w:val="0"/>
          <w:sz w:val="32"/>
          <w:szCs w:val="32"/>
          <w:highlight w:val="none"/>
          <w:lang w:val="en-US" w:eastAsia="zh-CN"/>
        </w:rPr>
        <w:t>三、财政专户管理资金：</w:t>
      </w:r>
      <w:r>
        <w:rPr>
          <w:rFonts w:hint="eastAsia" w:ascii="仿宋" w:hAnsi="仿宋" w:eastAsia="仿宋" w:cs="仿宋"/>
          <w:kern w:val="0"/>
          <w:sz w:val="32"/>
          <w:szCs w:val="32"/>
          <w:highlight w:val="none"/>
          <w:lang w:val="en-US" w:eastAsia="zh-CN"/>
        </w:rPr>
        <w:t>包括专户管理行政事业性收费（主要是教育收费）、其他非税收入</w:t>
      </w:r>
      <w:r>
        <w:rPr>
          <w:rFonts w:hint="eastAsia" w:ascii="FangSong_GB2312" w:hAnsi="FangSong_GB2312" w:eastAsia="FangSong_GB2312" w:cs="FangSong_GB2312"/>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楷体_GB2312" w:hAnsi="楷体_GB2312" w:eastAsia="楷体_GB2312" w:cs="楷体_GB2312"/>
          <w:b/>
          <w:bCs/>
          <w:kern w:val="0"/>
          <w:sz w:val="32"/>
          <w:szCs w:val="32"/>
          <w:highlight w:val="none"/>
          <w:lang w:val="en-US" w:eastAsia="zh-CN"/>
        </w:rPr>
        <w:t>四、其他资金：</w:t>
      </w:r>
      <w:r>
        <w:rPr>
          <w:rFonts w:hint="eastAsia" w:ascii="仿宋" w:hAnsi="仿宋" w:eastAsia="仿宋" w:cs="仿宋"/>
          <w:kern w:val="0"/>
          <w:sz w:val="32"/>
          <w:szCs w:val="32"/>
          <w:highlight w:val="none"/>
          <w:lang w:val="en-US" w:eastAsia="zh-CN"/>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楷体_GB2312" w:hAnsi="楷体_GB2312" w:eastAsia="楷体_GB2312" w:cs="楷体_GB2312"/>
          <w:b/>
          <w:bCs/>
          <w:kern w:val="0"/>
          <w:sz w:val="32"/>
          <w:szCs w:val="32"/>
          <w:highlight w:val="none"/>
          <w:lang w:val="en-US" w:eastAsia="zh-CN"/>
        </w:rPr>
        <w:t>五、基本支出：</w:t>
      </w:r>
      <w:r>
        <w:rPr>
          <w:rFonts w:hint="eastAsia" w:ascii="仿宋" w:hAnsi="仿宋" w:eastAsia="仿宋" w:cs="仿宋"/>
          <w:kern w:val="0"/>
          <w:sz w:val="32"/>
          <w:szCs w:val="32"/>
          <w:highlight w:val="none"/>
          <w:lang w:val="en-US" w:eastAsia="zh-CN"/>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楷体_GB2312" w:hAnsi="楷体_GB2312" w:eastAsia="楷体_GB2312" w:cs="楷体_GB2312"/>
          <w:b/>
          <w:bCs/>
          <w:kern w:val="0"/>
          <w:sz w:val="32"/>
          <w:szCs w:val="32"/>
          <w:highlight w:val="none"/>
          <w:lang w:val="en-US" w:eastAsia="zh-CN"/>
        </w:rPr>
        <w:t>六、项目支出：</w:t>
      </w:r>
      <w:r>
        <w:rPr>
          <w:rFonts w:hint="eastAsia" w:ascii="仿宋" w:hAnsi="仿宋" w:eastAsia="仿宋" w:cs="仿宋"/>
          <w:kern w:val="0"/>
          <w:sz w:val="32"/>
          <w:szCs w:val="32"/>
          <w:highlight w:val="none"/>
          <w:lang w:val="en-US" w:eastAsia="zh-CN"/>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楷体_GB2312" w:hAnsi="楷体_GB2312" w:eastAsia="楷体_GB2312" w:cs="楷体_GB2312"/>
          <w:b/>
          <w:bCs/>
          <w:kern w:val="0"/>
          <w:sz w:val="32"/>
          <w:szCs w:val="32"/>
          <w:highlight w:val="none"/>
          <w:lang w:val="en-US" w:eastAsia="zh-CN"/>
        </w:rPr>
        <w:t>七、“三公”经费：</w:t>
      </w:r>
      <w:r>
        <w:rPr>
          <w:rFonts w:hint="eastAsia" w:ascii="仿宋" w:hAnsi="仿宋" w:eastAsia="仿宋" w:cs="仿宋"/>
          <w:kern w:val="0"/>
          <w:sz w:val="32"/>
          <w:szCs w:val="32"/>
          <w:highlight w:val="none"/>
          <w:lang w:val="en-US" w:eastAsia="zh-CN"/>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楷体_GB2312" w:hAnsi="楷体_GB2312" w:eastAsia="楷体_GB2312" w:cs="楷体_GB2312"/>
          <w:b/>
          <w:bCs/>
          <w:kern w:val="0"/>
          <w:sz w:val="32"/>
          <w:szCs w:val="32"/>
          <w:highlight w:val="none"/>
          <w:lang w:val="en-US" w:eastAsia="zh-CN"/>
        </w:rPr>
        <w:t>八、机关运行经费：</w:t>
      </w:r>
      <w:r>
        <w:rPr>
          <w:rFonts w:hint="eastAsia" w:ascii="仿宋" w:hAnsi="仿宋" w:eastAsia="仿宋" w:cs="仿宋"/>
          <w:kern w:val="0"/>
          <w:sz w:val="32"/>
          <w:szCs w:val="32"/>
          <w:highlight w:val="none"/>
          <w:lang w:val="en-US" w:eastAsia="zh-CN"/>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bookmarkStart w:id="1" w:name="_GoBack"/>
      <w:bookmarkEnd w:id="1"/>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皮山县藏桂乡人民政府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2023年1月18日</w:t>
      </w:r>
    </w:p>
    <w:sectPr>
      <w:pgMar w:top="2098" w:right="1417" w:bottom="1984" w:left="158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_GB2312"/>
    <w:panose1 w:val="02010609030101010101"/>
    <w:charset w:val="86"/>
    <w:family w:val="modern"/>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仿宋_GB2312"/>
    <w:panose1 w:val="02010601030101010101"/>
    <w:charset w:val="86"/>
    <w:family w:val="script"/>
    <w:pitch w:val="default"/>
    <w:sig w:usb0="00000000" w:usb1="00000000" w:usb2="00000000" w:usb3="00000000" w:csb0="00040000" w:csb1="00000000"/>
  </w:font>
  <w:font w:name="方正小标宋_GBK">
    <w:panose1 w:val="03000509000000000000"/>
    <w:charset w:val="86"/>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FangSong_GB2312">
    <w:altName w:val="仿宋_GB2312"/>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2B4195"/>
    <w:rsid w:val="09B54C75"/>
    <w:rsid w:val="0A8A693C"/>
    <w:rsid w:val="16FC6BB4"/>
    <w:rsid w:val="19120228"/>
    <w:rsid w:val="1AA74633"/>
    <w:rsid w:val="21D16EC9"/>
    <w:rsid w:val="22523EE2"/>
    <w:rsid w:val="22B70BAF"/>
    <w:rsid w:val="23C64BC0"/>
    <w:rsid w:val="295473DA"/>
    <w:rsid w:val="29CE79DA"/>
    <w:rsid w:val="2E3377CD"/>
    <w:rsid w:val="2ED37F69"/>
    <w:rsid w:val="3B3F464F"/>
    <w:rsid w:val="3C3420E0"/>
    <w:rsid w:val="3C6801D1"/>
    <w:rsid w:val="3ED90D1D"/>
    <w:rsid w:val="473D3E13"/>
    <w:rsid w:val="49D26D21"/>
    <w:rsid w:val="4D3E4105"/>
    <w:rsid w:val="51A5344C"/>
    <w:rsid w:val="51E06543"/>
    <w:rsid w:val="540662AD"/>
    <w:rsid w:val="5A9A7C44"/>
    <w:rsid w:val="62456482"/>
    <w:rsid w:val="6BD37D1A"/>
    <w:rsid w:val="7423649A"/>
    <w:rsid w:val="7CC145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customStyle="1" w:styleId="5">
    <w:name w:val="font11"/>
    <w:basedOn w:val="3"/>
    <w:qFormat/>
    <w:uiPriority w:val="0"/>
    <w:rPr>
      <w:rFonts w:ascii="Arial" w:hAnsi="Arial" w:cs="Arial"/>
      <w:b/>
      <w:bCs/>
      <w:color w:val="000000"/>
      <w:sz w:val="22"/>
      <w:szCs w:val="22"/>
      <w:u w:val="none"/>
    </w:rPr>
  </w:style>
  <w:style w:type="character" w:customStyle="1" w:styleId="6">
    <w:name w:val="font31"/>
    <w:basedOn w:val="3"/>
    <w:qFormat/>
    <w:uiPriority w:val="0"/>
    <w:rPr>
      <w:rFonts w:ascii="宋体" w:hAnsi="宋体" w:eastAsia="宋体" w:cs="宋体"/>
      <w:b/>
      <w:bCs/>
      <w:color w:val="000000"/>
      <w:sz w:val="22"/>
      <w:szCs w:val="22"/>
      <w:u w:val="none"/>
    </w:rPr>
  </w:style>
  <w:style w:type="character" w:customStyle="1" w:styleId="7">
    <w:name w:val="font61"/>
    <w:basedOn w:val="3"/>
    <w:qFormat/>
    <w:uiPriority w:val="0"/>
    <w:rPr>
      <w:rFonts w:hint="default" w:ascii="Calibri" w:hAnsi="Calibri" w:cs="Calibri"/>
      <w:color w:val="000000"/>
      <w:sz w:val="22"/>
      <w:szCs w:val="22"/>
      <w:u w:val="none"/>
    </w:rPr>
  </w:style>
  <w:style w:type="character" w:customStyle="1" w:styleId="8">
    <w:name w:val="font71"/>
    <w:basedOn w:val="3"/>
    <w:qFormat/>
    <w:uiPriority w:val="0"/>
    <w:rPr>
      <w:rFonts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26</Pages>
  <Words>2499</Words>
  <Characters>3385</Characters>
  <TotalTime>45</TotalTime>
  <ScaleCrop>false</ScaleCrop>
  <LinksUpToDate>false</LinksUpToDate>
  <CharactersWithSpaces>3665</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2023-05-08T04:48:00Z</dcterms:created>
  <dc:creator>Apache POI</dc:creator>
  <cp:lastModifiedBy>Administrator</cp:lastModifiedBy>
  <dcterms:modified xsi:type="dcterms:W3CDTF">2025-07-22T09:06:13Z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C10A2A6DA03F41DBB5F8CFBFA3CB94ED_12</vt:lpwstr>
  </property>
  <property fmtid="{D5CDD505-2E9C-101B-9397-08002B2CF9AE}" pid="4" name="KSOTemplateDocerSaveRecord">
    <vt:lpwstr>eyJoZGlkIjoiZmJiYzM4NGMxNTU2MDViMDQzMzBjNGQ5NThlMWYxNDciLCJ1c2VySWQiOiI5NTc2ODg5MzgifQ==</vt:lpwstr>
  </property>
</Properties>
</file>