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tabs>
          <w:tab w:val="left" w:pos="2532"/>
          <w:tab w:val="center" w:pos="4482"/>
        </w:tabs>
        <w:spacing w:before="100" w:beforeAutospacing="1" w:after="100" w:afterAutospacing="1"/>
        <w:jc w:val="center"/>
        <w:outlineLvl w:val="1"/>
        <w:rPr>
          <w:rFonts w:hint="default" w:ascii="Times New Roman" w:hAnsi="Times New Roman" w:eastAsia="方正小标宋_GBK" w:cs="Times New Roman"/>
          <w:kern w:val="0"/>
          <w:sz w:val="44"/>
          <w:szCs w:val="44"/>
          <w:lang w:val="en-US" w:eastAsia="zh-CN" w:bidi="ar-SA"/>
        </w:rPr>
      </w:pPr>
      <w:r>
        <w:rPr>
          <w:rFonts w:ascii="黑体" w:hAnsi="黑体" w:eastAsia="黑体" w:cs="黑体"/>
          <w:position w:val="30"/>
          <w:sz w:val="42"/>
        </w:rPr>
        <w:br w:type="textWrapping"/>
      </w:r>
      <w:r>
        <w:rPr>
          <w:rFonts w:ascii="黑体" w:hAnsi="黑体" w:eastAsia="黑体" w:cs="黑体"/>
          <w:position w:val="30"/>
          <w:sz w:val="42"/>
        </w:rPr>
        <w:br w:type="textWrapping"/>
      </w:r>
      <w:r>
        <w:rPr>
          <w:rFonts w:ascii="黑体" w:hAnsi="黑体" w:eastAsia="黑体" w:cs="黑体"/>
          <w:position w:val="30"/>
          <w:sz w:val="42"/>
        </w:rPr>
        <w:br w:type="textWrapping"/>
      </w:r>
      <w:r>
        <w:rPr>
          <w:rFonts w:ascii="黑体" w:hAnsi="黑体" w:eastAsia="黑体" w:cs="黑体"/>
          <w:position w:val="30"/>
          <w:sz w:val="42"/>
        </w:rPr>
        <w:br w:type="textWrapping"/>
      </w:r>
      <w:r>
        <w:rPr>
          <w:rFonts w:ascii="黑体" w:hAnsi="黑体" w:eastAsia="黑体" w:cs="黑体"/>
          <w:position w:val="30"/>
          <w:sz w:val="42"/>
        </w:rPr>
        <w:br w:type="textWrapping"/>
      </w:r>
      <w:r>
        <w:rPr>
          <w:rFonts w:hint="default" w:ascii="Times New Roman" w:hAnsi="Times New Roman" w:eastAsia="方正小标宋_GBK" w:cs="Times New Roman"/>
          <w:kern w:val="0"/>
          <w:sz w:val="44"/>
          <w:szCs w:val="44"/>
          <w:lang w:val="en-US" w:eastAsia="zh-CN" w:bidi="ar-SA"/>
        </w:rPr>
        <w:t>皮山县科克铁热克乡人民政府</w:t>
      </w:r>
    </w:p>
    <w:p>
      <w:pPr>
        <w:widowControl/>
        <w:tabs>
          <w:tab w:val="left" w:pos="2532"/>
          <w:tab w:val="center" w:pos="4482"/>
        </w:tabs>
        <w:spacing w:before="100" w:beforeAutospacing="1" w:after="100" w:afterAutospacing="1"/>
        <w:jc w:val="center"/>
        <w:outlineLvl w:val="1"/>
        <w:rPr>
          <w:rFonts w:hint="default" w:ascii="Times New Roman" w:hAnsi="Times New Roman" w:eastAsia="方正小标宋_GBK" w:cs="Times New Roman"/>
          <w:kern w:val="0"/>
          <w:sz w:val="44"/>
          <w:szCs w:val="44"/>
          <w:lang w:val="en-US" w:eastAsia="zh-CN" w:bidi="ar-SA"/>
        </w:rPr>
      </w:pPr>
      <w:r>
        <w:rPr>
          <w:rFonts w:hint="default" w:ascii="Times New Roman" w:hAnsi="Times New Roman" w:eastAsia="方正小标宋_GBK" w:cs="Times New Roman"/>
          <w:kern w:val="0"/>
          <w:sz w:val="44"/>
          <w:szCs w:val="44"/>
          <w:lang w:val="en-US" w:eastAsia="zh-CN" w:bidi="ar-SA"/>
        </w:rPr>
        <w:t>2023年单位预算公开</w:t>
      </w:r>
    </w:p>
    <w:p>
      <w:r>
        <w:br w:type="page"/>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hAnsi="宋体" w:eastAsia="方正小标宋简体" w:cs="Times New Roman"/>
          <w:color w:val="000000"/>
          <w:kern w:val="2"/>
          <w:sz w:val="44"/>
          <w:szCs w:val="44"/>
          <w:shd w:val="clear" w:color="auto" w:fill="FFFFFF"/>
          <w:lang w:val="en-US" w:eastAsia="zh-CN" w:bidi="ar-SA"/>
        </w:rPr>
      </w:pPr>
      <w:r>
        <w:rPr>
          <w:rFonts w:hint="eastAsia" w:ascii="方正小标宋简体" w:hAnsi="宋体" w:eastAsia="方正小标宋简体" w:cs="Times New Roman"/>
          <w:color w:val="000000"/>
          <w:kern w:val="2"/>
          <w:sz w:val="44"/>
          <w:szCs w:val="44"/>
          <w:shd w:val="clear" w:color="auto" w:fill="FFFFFF"/>
          <w:lang w:val="en-US" w:eastAsia="zh-CN" w:bidi="ar-SA"/>
        </w:rPr>
        <w:t>目     录</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黑体" w:hAnsi="黑体" w:eastAsia="黑体" w:cs="黑体"/>
          <w:position w:val="15"/>
          <w:sz w:val="32"/>
          <w:szCs w:val="32"/>
        </w:rPr>
        <w:t>第一部分 皮山县科克铁热克乡人民政府单位概况</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一、主要职能</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二、机构设置及人员情况</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黑体" w:hAnsi="黑体" w:eastAsia="黑体" w:cs="黑体"/>
          <w:position w:val="15"/>
          <w:sz w:val="32"/>
          <w:szCs w:val="32"/>
        </w:rPr>
        <w:t>第二部分 2023年单位预算公开表</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一、单位收支总体情况表</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二、单位收入总体情况表</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三、单位支出总体情况表</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四、财政拨款收支预算总体情况表</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五、一般公共预算支出情况表</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六、一般公共预算基本支出情况表</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七、一般公共预算项目支出情况表</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八、政府性基金预算支出情况表</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九、国有资本经营预算支出情况表</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十、财政拨款“三公”经费支出情况表</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黑体" w:hAnsi="黑体" w:eastAsia="黑体" w:cs="黑体"/>
          <w:position w:val="15"/>
          <w:sz w:val="32"/>
          <w:szCs w:val="32"/>
        </w:rPr>
        <w:t>第三部分 2023年单位预算情况说明</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一、关于皮山县科克铁热克乡人民政府2023年收支预算情况的总体说明</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二、关于皮山县科克铁热克乡人民政府2023年收入预算情况说明</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三、关于皮山县科克铁热克乡人民政府2023年支出预算情况说明</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四、关于皮山县科克铁热克乡人民政府2023年财政拨款收支预算情况的总体说明</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五、关于皮山县科克铁热克乡人民政府2023年一般公共预算当年拨款情况说明</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六、关于皮山县科克铁热克乡人民政府2023年一般公共预算基本支出情况说明</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七、关于皮山县科克铁热克乡人民政府2023年一般公共预算项目支出情况说明</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八、关于皮山县科克铁热克乡人民政府2023年政府性基金预算拨款情况说明</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九、关于皮山县科克铁热克乡人民政府2023年国有资本经营预算拨款情况说明</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十、关于皮山县科克铁热克乡人民政府2023年财政拨款“三公”经费预算情况说明</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十一、其他重要事项的情况说明</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黑体" w:hAnsi="黑体" w:eastAsia="黑体" w:cs="黑体"/>
          <w:position w:val="15"/>
          <w:sz w:val="32"/>
          <w:szCs w:val="32"/>
        </w:rPr>
        <w:t>第四部分 名词解释</w:t>
      </w:r>
    </w:p>
    <w:p>
      <w:r>
        <w:br w:type="textWrapping"/>
      </w:r>
    </w:p>
    <w:p>
      <w:pPr>
        <w:rPr>
          <w:rFonts w:ascii="黑体" w:hAnsi="黑体" w:eastAsia="黑体" w:cs="黑体"/>
          <w:position w:val="30"/>
          <w:sz w:val="42"/>
        </w:rPr>
      </w:pPr>
      <w:r>
        <w:rPr>
          <w:rFonts w:ascii="黑体" w:hAnsi="黑体" w:eastAsia="黑体" w:cs="黑体"/>
          <w:position w:val="30"/>
          <w:sz w:val="42"/>
        </w:rPr>
        <w:br w:type="page"/>
      </w:r>
    </w:p>
    <w:p>
      <w:pPr>
        <w:keepNext w:val="0"/>
        <w:keepLines w:val="0"/>
        <w:pageBreakBefore w:val="0"/>
        <w:widowControl w:val="0"/>
        <w:kinsoku/>
        <w:wordWrap/>
        <w:topLinePunct w:val="0"/>
        <w:autoSpaceDE/>
        <w:autoSpaceDN/>
        <w:bidi w:val="0"/>
        <w:adjustRightInd/>
        <w:snapToGrid/>
        <w:spacing w:line="540" w:lineRule="exact"/>
        <w:jc w:val="center"/>
        <w:textAlignment w:val="auto"/>
        <w:rPr>
          <w:rFonts w:hint="eastAsia" w:ascii="方正小标宋简体" w:hAnsi="宋体" w:eastAsia="方正小标宋简体" w:cs="Times New Roman"/>
          <w:color w:val="000000"/>
          <w:kern w:val="2"/>
          <w:sz w:val="44"/>
          <w:szCs w:val="44"/>
          <w:shd w:val="clear" w:color="auto" w:fill="FFFFFF"/>
          <w:lang w:val="en-US" w:eastAsia="zh-CN" w:bidi="ar-SA"/>
        </w:rPr>
      </w:pPr>
      <w:r>
        <w:rPr>
          <w:rFonts w:hint="eastAsia" w:ascii="方正小标宋简体" w:hAnsi="宋体" w:eastAsia="方正小标宋简体" w:cs="Times New Roman"/>
          <w:color w:val="000000"/>
          <w:kern w:val="2"/>
          <w:sz w:val="44"/>
          <w:szCs w:val="44"/>
          <w:shd w:val="clear" w:color="auto" w:fill="FFFFFF"/>
          <w:lang w:val="en-US" w:eastAsia="zh-CN" w:bidi="ar-SA"/>
        </w:rPr>
        <w:t>第一部分 皮山县科克铁热克乡人民政府单位概况</w:t>
      </w:r>
    </w:p>
    <w:p>
      <w:pPr>
        <w:keepNext w:val="0"/>
        <w:keepLines w:val="0"/>
        <w:pageBreakBefore w:val="0"/>
        <w:widowControl w:val="0"/>
        <w:kinsoku/>
        <w:wordWrap/>
        <w:overflowPunct/>
        <w:topLinePunct w:val="0"/>
        <w:autoSpaceDE/>
        <w:autoSpaceDN/>
        <w:bidi w:val="0"/>
        <w:adjustRightInd/>
        <w:snapToGrid/>
        <w:spacing w:before="150" w:line="560" w:lineRule="exact"/>
        <w:ind w:left="198" w:right="198" w:firstLine="640" w:firstLineChars="200"/>
        <w:jc w:val="both"/>
        <w:textAlignment w:val="auto"/>
        <w:outlineLvl w:val="9"/>
        <w:rPr>
          <w:sz w:val="32"/>
          <w:szCs w:val="32"/>
        </w:rPr>
      </w:pPr>
      <w:r>
        <w:rPr>
          <w:rFonts w:ascii="黑体" w:hAnsi="黑体" w:eastAsia="黑体" w:cs="黑体"/>
          <w:position w:val="20"/>
          <w:sz w:val="32"/>
          <w:szCs w:val="32"/>
        </w:rPr>
        <w:t>一、主要职能</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640" w:firstLineChars="200"/>
        <w:jc w:val="both"/>
        <w:textAlignment w:val="auto"/>
        <w:outlineLvl w:val="9"/>
        <w:rPr>
          <w:sz w:val="32"/>
          <w:szCs w:val="32"/>
        </w:rPr>
      </w:pPr>
      <w:r>
        <w:rPr>
          <w:rFonts w:ascii="仿宋" w:hAnsi="仿宋" w:eastAsia="仿宋" w:cs="仿宋"/>
          <w:position w:val="10"/>
          <w:sz w:val="32"/>
          <w:szCs w:val="32"/>
        </w:rPr>
        <w:t>乡政府是基层国家行政机关，行使本行政区的行政职能：</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640" w:firstLineChars="200"/>
        <w:jc w:val="both"/>
        <w:textAlignment w:val="auto"/>
        <w:outlineLvl w:val="9"/>
        <w:rPr>
          <w:sz w:val="32"/>
          <w:szCs w:val="32"/>
        </w:rPr>
      </w:pPr>
      <w:r>
        <w:rPr>
          <w:rFonts w:ascii="仿宋" w:hAnsi="仿宋" w:eastAsia="仿宋" w:cs="仿宋"/>
          <w:position w:val="10"/>
          <w:sz w:val="32"/>
          <w:szCs w:val="32"/>
        </w:rPr>
        <w:t>（1）制定和组织实施经济、科技和社会发展计划，制定资源开发技术改造和产业结构调整方案，组织指导好各业生产，搞好商品流通，协调好本乡与外地区的经济交流与合作，抓好招商引资，人才引进项目开发，不断培育市场体系，组织经济运行，促进经济发展。</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640" w:firstLineChars="200"/>
        <w:jc w:val="both"/>
        <w:textAlignment w:val="auto"/>
        <w:outlineLvl w:val="9"/>
        <w:rPr>
          <w:sz w:val="32"/>
          <w:szCs w:val="32"/>
        </w:rPr>
      </w:pPr>
      <w:r>
        <w:rPr>
          <w:rFonts w:ascii="仿宋" w:hAnsi="仿宋" w:eastAsia="仿宋" w:cs="仿宋"/>
          <w:position w:val="10"/>
          <w:sz w:val="32"/>
          <w:szCs w:val="32"/>
        </w:rPr>
        <w:t>（2）制定并组织实施村镇建设规划，部署重点工程建设，地方道路建设及公共设施，水利设施的管理，负责土地、林木、水等自然资源和生态环境的保护，做好护林防火工作。</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640" w:firstLineChars="200"/>
        <w:jc w:val="both"/>
        <w:textAlignment w:val="auto"/>
        <w:outlineLvl w:val="9"/>
        <w:rPr>
          <w:sz w:val="32"/>
          <w:szCs w:val="32"/>
        </w:rPr>
      </w:pPr>
      <w:r>
        <w:rPr>
          <w:rFonts w:ascii="仿宋" w:hAnsi="仿宋" w:eastAsia="仿宋" w:cs="仿宋"/>
          <w:position w:val="10"/>
          <w:sz w:val="32"/>
          <w:szCs w:val="32"/>
        </w:rPr>
        <w:t>（3）负责本行政区域内的民政、计划生育、文化教育、卫生、体育等社会公益事业的综合性工作，维护一切经济单位和个人的正当经济权益，取缔非法经济活动，调解和处理民事纠纷，打击刑事犯罪维护社会稳定。</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640" w:firstLineChars="200"/>
        <w:jc w:val="both"/>
        <w:textAlignment w:val="auto"/>
        <w:outlineLvl w:val="9"/>
        <w:rPr>
          <w:sz w:val="32"/>
          <w:szCs w:val="32"/>
        </w:rPr>
      </w:pPr>
      <w:r>
        <w:rPr>
          <w:rFonts w:ascii="仿宋" w:hAnsi="仿宋" w:eastAsia="仿宋" w:cs="仿宋"/>
          <w:position w:val="10"/>
          <w:sz w:val="32"/>
          <w:szCs w:val="32"/>
        </w:rPr>
        <w:t>（4）按计划组织本级财政收入和地方税的征收，完成国家财政计划，不断培植税源，管好财政资金，增强财政实力。</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640" w:firstLineChars="200"/>
        <w:jc w:val="both"/>
        <w:textAlignment w:val="auto"/>
        <w:outlineLvl w:val="9"/>
        <w:rPr>
          <w:sz w:val="32"/>
          <w:szCs w:val="32"/>
        </w:rPr>
      </w:pPr>
      <w:r>
        <w:rPr>
          <w:rFonts w:ascii="仿宋" w:hAnsi="仿宋" w:eastAsia="仿宋" w:cs="仿宋"/>
          <w:position w:val="10"/>
          <w:sz w:val="32"/>
          <w:szCs w:val="32"/>
        </w:rPr>
        <w:t>（5）抓好精神文明建设，丰富群众文化。提倡移风易俗，反对封建迷信，破除陈规陋习，树立社会主义新风尚。</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640" w:firstLineChars="200"/>
        <w:jc w:val="both"/>
        <w:textAlignment w:val="auto"/>
        <w:outlineLvl w:val="9"/>
        <w:rPr>
          <w:sz w:val="32"/>
          <w:szCs w:val="32"/>
        </w:rPr>
      </w:pPr>
      <w:r>
        <w:rPr>
          <w:rFonts w:ascii="仿宋" w:hAnsi="仿宋" w:eastAsia="仿宋" w:cs="仿宋"/>
          <w:position w:val="10"/>
          <w:sz w:val="32"/>
          <w:szCs w:val="32"/>
        </w:rPr>
        <w:t>（6）完成上级政府交办的其它事项。</w:t>
      </w:r>
    </w:p>
    <w:p>
      <w:pPr>
        <w:keepNext w:val="0"/>
        <w:keepLines w:val="0"/>
        <w:pageBreakBefore w:val="0"/>
        <w:widowControl w:val="0"/>
        <w:kinsoku/>
        <w:wordWrap/>
        <w:overflowPunct/>
        <w:topLinePunct w:val="0"/>
        <w:autoSpaceDE/>
        <w:autoSpaceDN/>
        <w:bidi w:val="0"/>
        <w:adjustRightInd/>
        <w:snapToGrid/>
        <w:spacing w:before="150" w:line="560" w:lineRule="exact"/>
        <w:ind w:left="198" w:right="198" w:firstLine="640" w:firstLineChars="200"/>
        <w:jc w:val="both"/>
        <w:textAlignment w:val="auto"/>
        <w:outlineLvl w:val="9"/>
        <w:rPr>
          <w:sz w:val="32"/>
          <w:szCs w:val="32"/>
        </w:rPr>
      </w:pPr>
      <w:r>
        <w:rPr>
          <w:rFonts w:ascii="黑体" w:hAnsi="黑体" w:eastAsia="黑体" w:cs="黑体"/>
          <w:position w:val="20"/>
          <w:sz w:val="32"/>
          <w:szCs w:val="32"/>
        </w:rPr>
        <w:t>二、机构设置及人员情况</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640" w:firstLineChars="200"/>
        <w:jc w:val="both"/>
        <w:textAlignment w:val="auto"/>
        <w:outlineLvl w:val="9"/>
        <w:rPr>
          <w:sz w:val="32"/>
          <w:szCs w:val="32"/>
        </w:rPr>
      </w:pPr>
      <w:r>
        <w:rPr>
          <w:rFonts w:ascii="仿宋" w:hAnsi="仿宋" w:eastAsia="仿宋" w:cs="仿宋"/>
          <w:position w:val="10"/>
          <w:sz w:val="32"/>
          <w:szCs w:val="32"/>
        </w:rPr>
        <w:t>皮山县科克铁热克乡人民政府无下属预算单位，下设11个科室，分别是：党政办、党建办、经济发展办、社会事务办、综合执法办、农业（畜牧业）发展服务中心、文体广电旅游服务中心、社会保障（民政）服务中心（退役军人服务站）、农村合作经济（统计）发展中心（财政所）、村镇规划建设发展中心（生态环境工作站）、综治中心（网格化服务中心）。</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640" w:firstLineChars="200"/>
        <w:jc w:val="both"/>
        <w:textAlignment w:val="auto"/>
        <w:outlineLvl w:val="9"/>
        <w:rPr>
          <w:sz w:val="32"/>
          <w:szCs w:val="32"/>
        </w:rPr>
      </w:pPr>
      <w:r>
        <w:rPr>
          <w:rFonts w:ascii="仿宋" w:hAnsi="仿宋" w:eastAsia="仿宋" w:cs="仿宋"/>
          <w:position w:val="10"/>
          <w:sz w:val="32"/>
          <w:szCs w:val="32"/>
        </w:rPr>
        <w:t>皮山县科克铁热克乡人民政府单位编制数114，实有人数184人，其中：在职184人，增加0人；退休0人，增加0人；离休0人，增加0人。</w:t>
      </w:r>
    </w:p>
    <w:p>
      <w:r>
        <w:br w:type="textWrapping"/>
      </w:r>
    </w:p>
    <w:p>
      <w:pPr>
        <w:rPr>
          <w:rFonts w:ascii="黑体" w:hAnsi="黑体" w:eastAsia="黑体" w:cs="黑体"/>
          <w:position w:val="30"/>
          <w:sz w:val="42"/>
        </w:rPr>
      </w:pPr>
      <w:r>
        <w:rPr>
          <w:rFonts w:ascii="黑体" w:hAnsi="黑体" w:eastAsia="黑体" w:cs="黑体"/>
          <w:position w:val="30"/>
          <w:sz w:val="42"/>
        </w:rPr>
        <w:br w:type="page"/>
      </w:r>
    </w:p>
    <w:p>
      <w:pPr>
        <w:keepNext w:val="0"/>
        <w:keepLines w:val="0"/>
        <w:pageBreakBefore w:val="0"/>
        <w:widowControl w:val="0"/>
        <w:kinsoku/>
        <w:wordWrap/>
        <w:topLinePunct w:val="0"/>
        <w:autoSpaceDE/>
        <w:autoSpaceDN/>
        <w:bidi w:val="0"/>
        <w:adjustRightInd/>
        <w:snapToGrid/>
        <w:spacing w:line="540" w:lineRule="exact"/>
        <w:jc w:val="center"/>
        <w:textAlignment w:val="auto"/>
        <w:rPr>
          <w:rFonts w:hint="eastAsia" w:ascii="方正小标宋简体" w:hAnsi="宋体" w:eastAsia="方正小标宋简体" w:cs="Times New Roman"/>
          <w:color w:val="000000"/>
          <w:kern w:val="2"/>
          <w:sz w:val="44"/>
          <w:szCs w:val="44"/>
          <w:shd w:val="clear" w:color="auto" w:fill="FFFFFF"/>
          <w:lang w:val="en-US" w:eastAsia="zh-CN" w:bidi="ar-SA"/>
        </w:rPr>
      </w:pPr>
      <w:r>
        <w:rPr>
          <w:rFonts w:hint="eastAsia" w:ascii="方正小标宋简体" w:hAnsi="宋体" w:eastAsia="方正小标宋简体" w:cs="Times New Roman"/>
          <w:color w:val="000000"/>
          <w:kern w:val="2"/>
          <w:sz w:val="44"/>
          <w:szCs w:val="44"/>
          <w:shd w:val="clear" w:color="auto" w:fill="FFFFFF"/>
          <w:lang w:val="en-US" w:eastAsia="zh-CN" w:bidi="ar-SA"/>
        </w:rPr>
        <w:t>第二部分 2023年单位预算公开表</w:t>
      </w:r>
    </w:p>
    <w:tbl>
      <w:tblPr>
        <w:tblStyle w:val="4"/>
        <w:tblW w:w="8400"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2100"/>
        <w:gridCol w:w="2100"/>
        <w:gridCol w:w="2100"/>
        <w:gridCol w:w="2100"/>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4"/>
            <w:tcBorders>
              <w:top w:val="nil"/>
              <w:left w:val="nil"/>
              <w:bottom w:val="nil"/>
              <w:right w:val="nil"/>
            </w:tcBorders>
            <w:vAlign w:val="center"/>
          </w:tcPr>
          <w:p>
            <w:pPr>
              <w:ind w:left="150"/>
              <w:jc w:val="left"/>
            </w:pPr>
            <w:r>
              <w:rPr>
                <w:rFonts w:ascii="仿宋" w:hAnsi="仿宋" w:eastAsia="仿宋" w:cs="仿宋"/>
                <w:position w:val="8"/>
                <w:sz w:val="20"/>
              </w:rPr>
              <w:t>表1</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4"/>
            <w:tcBorders>
              <w:top w:val="nil"/>
              <w:left w:val="nil"/>
              <w:bottom w:val="nil"/>
              <w:right w:val="nil"/>
            </w:tcBorders>
            <w:vAlign w:val="center"/>
          </w:tcPr>
          <w:p>
            <w:pPr>
              <w:ind w:left="150"/>
              <w:jc w:val="center"/>
            </w:pPr>
            <w:r>
              <w:rPr>
                <w:rFonts w:ascii="黑体" w:hAnsi="黑体" w:eastAsia="黑体" w:cs="黑体"/>
                <w:position w:val="15"/>
                <w:sz w:val="28"/>
              </w:rPr>
              <w:t>单位收支总体情况表</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200" w:type="dxa"/>
            <w:gridSpan w:val="2"/>
            <w:tcBorders>
              <w:top w:val="nil"/>
              <w:left w:val="nil"/>
              <w:right w:val="nil"/>
            </w:tcBorders>
            <w:vAlign w:val="center"/>
          </w:tcPr>
          <w:p>
            <w:pPr>
              <w:ind w:left="150"/>
              <w:jc w:val="left"/>
            </w:pPr>
            <w:r>
              <w:rPr>
                <w:rFonts w:ascii="仿宋" w:hAnsi="仿宋" w:eastAsia="仿宋" w:cs="仿宋"/>
                <w:position w:val="8"/>
                <w:sz w:val="20"/>
              </w:rPr>
              <w:t>编制单位：皮山县科克铁热克乡人民政府</w:t>
            </w:r>
          </w:p>
        </w:tc>
        <w:tc>
          <w:tcPr>
            <w:tcW w:w="4200" w:type="dxa"/>
            <w:gridSpan w:val="2"/>
            <w:tcBorders>
              <w:top w:val="nil"/>
              <w:left w:val="nil"/>
              <w:right w:val="nil"/>
            </w:tcBorders>
            <w:vAlign w:val="center"/>
          </w:tcPr>
          <w:p>
            <w:pPr>
              <w:ind w:left="150"/>
              <w:jc w:val="right"/>
            </w:pPr>
            <w:r>
              <w:rPr>
                <w:rFonts w:ascii="仿宋" w:hAnsi="仿宋" w:eastAsia="仿宋" w:cs="仿宋"/>
                <w:position w:val="8"/>
                <w:sz w:val="20"/>
              </w:rPr>
              <w:t>单位:万元</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20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收   入</w:t>
            </w:r>
          </w:p>
        </w:tc>
        <w:tc>
          <w:tcPr>
            <w:tcW w:w="420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支   出</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10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  目</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预算数</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功能分类</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预算数</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一、本年收入</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6676.22</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201 一般公共服务支出</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6325.68</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1.一般公共预算拨款</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6676.22</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202 外交支出</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其中：一般财力</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6669.22</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203 国防支出</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上级一般公共预算安排转移支付</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7.00</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204 公共安全支出</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2.基金预算拨款</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205 教育支出</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其中：政府性基金收入</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206 科学技术支出</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上级政府性基金安排转移支付</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207 文化旅游体育与传媒支出</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3.国有资本经营预算拨款</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208 社会保障和就业支出</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435.45</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其中：国有资本经营收入</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209 社会保险基金支出</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上级国有资本经营预算安排转移支付</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210 卫生健康支出</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4.财政专户核拨</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211 节能环保支出</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5.单位资金</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212 城乡社区支出</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其中：事业收入</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213 农林水支出</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169.49</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上级补助收入</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214 交通运输支出</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附属单位上缴收入</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215 资源勘探工业信息等支出</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事业单位经营收入</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216 商业服务业等支出</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其他收入</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217 金融支出</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二、上年结转结余</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264.96</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219 援助其他地区支出</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1.财政拨款结转</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264.96</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220 自然资源海洋气象等支出</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其中：一般公共预算拨款</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264.96</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221 住房保障支出</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基金预算拨款</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222 粮油物资储备支出</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国有资本经营预算拨款</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223 国有资本经营预算支出</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2.非财政拨款结转结余</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224 灾害防治及应急管理支出</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其中：财政专户核拨</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227 预备费</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单位资金</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229 其他支出</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10.56</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230 转移性支出</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231 债务还本支出</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232 债务付息支出</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233 债务发行费用支出</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234 抗疫特别国债安排的支出</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收  入  总  计</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6941.18</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支  出  总  计</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6941.18</w:t>
            </w:r>
          </w:p>
        </w:tc>
      </w:tr>
    </w:tbl>
    <w:p>
      <w:r>
        <w:br w:type="textWrapping"/>
      </w:r>
    </w:p>
    <w:p>
      <w:pPr>
        <w:ind w:left="150"/>
        <w:jc w:val="left"/>
        <w:rPr>
          <w:rFonts w:ascii="仿宋" w:hAnsi="仿宋" w:eastAsia="仿宋" w:cs="仿宋"/>
          <w:position w:val="8"/>
          <w:sz w:val="20"/>
        </w:rPr>
      </w:pPr>
      <w:r>
        <w:rPr>
          <w:rFonts w:ascii="仿宋" w:hAnsi="仿宋" w:eastAsia="仿宋" w:cs="仿宋"/>
          <w:position w:val="8"/>
          <w:sz w:val="20"/>
        </w:rPr>
        <w:br w:type="page"/>
      </w:r>
    </w:p>
    <w:tbl>
      <w:tblPr>
        <w:tblStyle w:val="4"/>
        <w:tblW w:w="8400"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525"/>
        <w:gridCol w:w="525"/>
        <w:gridCol w:w="525"/>
        <w:gridCol w:w="525"/>
        <w:gridCol w:w="525"/>
        <w:gridCol w:w="525"/>
        <w:gridCol w:w="525"/>
        <w:gridCol w:w="525"/>
        <w:gridCol w:w="525"/>
        <w:gridCol w:w="525"/>
        <w:gridCol w:w="525"/>
        <w:gridCol w:w="525"/>
        <w:gridCol w:w="525"/>
        <w:gridCol w:w="525"/>
        <w:gridCol w:w="525"/>
        <w:gridCol w:w="525"/>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16"/>
            <w:tcBorders>
              <w:top w:val="nil"/>
              <w:left w:val="nil"/>
              <w:bottom w:val="nil"/>
              <w:right w:val="nil"/>
            </w:tcBorders>
            <w:vAlign w:val="center"/>
          </w:tcPr>
          <w:p>
            <w:pPr>
              <w:ind w:left="150"/>
              <w:jc w:val="left"/>
            </w:pPr>
            <w:r>
              <w:rPr>
                <w:rFonts w:ascii="仿宋" w:hAnsi="仿宋" w:eastAsia="仿宋" w:cs="仿宋"/>
                <w:position w:val="8"/>
                <w:sz w:val="20"/>
              </w:rPr>
              <w:t>表2</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16"/>
            <w:tcBorders>
              <w:top w:val="nil"/>
              <w:left w:val="nil"/>
              <w:bottom w:val="nil"/>
              <w:right w:val="nil"/>
            </w:tcBorders>
            <w:vAlign w:val="center"/>
          </w:tcPr>
          <w:p>
            <w:pPr>
              <w:ind w:left="150"/>
              <w:jc w:val="center"/>
            </w:pPr>
            <w:r>
              <w:rPr>
                <w:rFonts w:ascii="黑体" w:hAnsi="黑体" w:eastAsia="黑体" w:cs="黑体"/>
                <w:position w:val="15"/>
                <w:sz w:val="28"/>
              </w:rPr>
              <w:t>单位收入总体情况表</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200" w:type="dxa"/>
            <w:gridSpan w:val="8"/>
            <w:tcBorders>
              <w:top w:val="nil"/>
              <w:left w:val="nil"/>
              <w:right w:val="nil"/>
            </w:tcBorders>
            <w:vAlign w:val="center"/>
          </w:tcPr>
          <w:p>
            <w:pPr>
              <w:ind w:left="150"/>
              <w:jc w:val="left"/>
            </w:pPr>
            <w:r>
              <w:rPr>
                <w:rFonts w:ascii="仿宋" w:hAnsi="仿宋" w:eastAsia="仿宋" w:cs="仿宋"/>
                <w:position w:val="8"/>
                <w:sz w:val="20"/>
              </w:rPr>
              <w:t>编制单位：皮山县科克铁热克乡人民政府</w:t>
            </w:r>
          </w:p>
        </w:tc>
        <w:tc>
          <w:tcPr>
            <w:tcW w:w="4200" w:type="dxa"/>
            <w:gridSpan w:val="8"/>
            <w:tcBorders>
              <w:top w:val="nil"/>
              <w:left w:val="nil"/>
              <w:right w:val="nil"/>
            </w:tcBorders>
            <w:vAlign w:val="center"/>
          </w:tcPr>
          <w:p>
            <w:pPr>
              <w:ind w:left="150"/>
              <w:jc w:val="right"/>
            </w:pPr>
            <w:r>
              <w:rPr>
                <w:rFonts w:ascii="仿宋" w:hAnsi="仿宋" w:eastAsia="仿宋" w:cs="仿宋"/>
                <w:position w:val="8"/>
                <w:sz w:val="20"/>
              </w:rPr>
              <w:t>单位:万元</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05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功能分类编码</w:t>
            </w:r>
          </w:p>
        </w:tc>
        <w:tc>
          <w:tcPr>
            <w:tcW w:w="1050" w:type="dxa"/>
            <w:gridSpan w:val="2"/>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功能分类科目名称</w:t>
            </w:r>
          </w:p>
        </w:tc>
        <w:tc>
          <w:tcPr>
            <w:tcW w:w="1050" w:type="dxa"/>
            <w:gridSpan w:val="2"/>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总  计</w:t>
            </w:r>
          </w:p>
        </w:tc>
        <w:tc>
          <w:tcPr>
            <w:tcW w:w="105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财政拨款（补助）</w:t>
            </w:r>
          </w:p>
        </w:tc>
        <w:tc>
          <w:tcPr>
            <w:tcW w:w="1050" w:type="dxa"/>
            <w:gridSpan w:val="2"/>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财政专户（教育收费）</w:t>
            </w:r>
          </w:p>
        </w:tc>
        <w:tc>
          <w:tcPr>
            <w:tcW w:w="1050" w:type="dxa"/>
            <w:gridSpan w:val="2"/>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单位资金</w:t>
            </w:r>
          </w:p>
        </w:tc>
        <w:tc>
          <w:tcPr>
            <w:tcW w:w="1050" w:type="dxa"/>
            <w:gridSpan w:val="2"/>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财政拨款结转</w:t>
            </w:r>
          </w:p>
        </w:tc>
        <w:tc>
          <w:tcPr>
            <w:tcW w:w="1050" w:type="dxa"/>
            <w:gridSpan w:val="2"/>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非财政拨款结转结余</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2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类</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款</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w:t>
            </w:r>
          </w:p>
        </w:tc>
        <w:tc>
          <w:tcPr>
            <w:tcW w:w="525" w:type="dxa"/>
            <w:vMerge w:val="continue"/>
          </w:tcPr>
          <w:p/>
        </w:tc>
        <w:tc>
          <w:tcPr>
            <w:tcW w:w="525" w:type="dxa"/>
            <w:vMerge w:val="continue"/>
          </w:tc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财政拨款（补助）小计</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一般公共预算</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上级一般公共预算安排的转移支付</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政府性基金预算</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上级政府性基金安排的转移支付</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国有资本经营预算</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上级国有资本经营预算安排的转移支付</w:t>
            </w:r>
          </w:p>
        </w:tc>
        <w:tc>
          <w:tcPr>
            <w:tcW w:w="525" w:type="dxa"/>
            <w:vMerge w:val="continue"/>
          </w:tcPr>
          <w:p/>
        </w:tc>
        <w:tc>
          <w:tcPr>
            <w:tcW w:w="525" w:type="dxa"/>
            <w:vMerge w:val="continue"/>
          </w:tcPr>
          <w:p/>
        </w:tc>
        <w:tc>
          <w:tcPr>
            <w:tcW w:w="525" w:type="dxa"/>
            <w:vMerge w:val="continue"/>
          </w:tcPr>
          <w:p/>
        </w:tc>
        <w:tc>
          <w:tcPr>
            <w:tcW w:w="525" w:type="dxa"/>
            <w:vMerge w:val="continue"/>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201</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一般公共服务支出</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6325.68</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6241.4</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6234.4</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7.00</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84.28</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201</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01</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人大事务</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4.00</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4.00</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201</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01</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08</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代表工作</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4.00</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4.00</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201</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03</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政府办公厅（室）及相关机构事务</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6253.4</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6234.4</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6234.4</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19.00</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201</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03</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01</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行政运行</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6234.4</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6234.4</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6234.4</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201</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03</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99</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其他政府办公厅（室）及相关机构事务支出</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19.00</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19.00</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201</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29</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群众团体事务</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53.97</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53.97</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201</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29</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99</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其他群众团体事务支出</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53.97</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53.97</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201</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32</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组织事务</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1.00</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1.00</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201</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32</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99</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其他组织事务支出</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1.00</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1.00</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201</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34</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统战事务</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10.91</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7.00</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7.00</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3.91</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201</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34</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04</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宗教事务</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7.00</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7.00</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7.00</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201</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34</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99</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其他统战事务支出</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3.91</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3.91</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201</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36</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其他共产党事务支出</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2.4</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2.4</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201</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36</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99</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其他共产党事务支出</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2.4</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2.4</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208</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社会保障和就业支出</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435.45</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434.82</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434.82</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0.63</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208</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05</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行政事业单位养老支出</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434.82</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434.82</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434.82</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208</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05</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05</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机关事业单位基本养老保险缴费支出</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289.88</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289.88</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289.88</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208</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05</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06</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机关事业单位职业年金缴费支出</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144.94</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144.94</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144.94</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208</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07</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就业补助</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0.63</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0.63</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208</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07</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99</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其他就业补助支出</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0.63</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0.63</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213</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农林水支出</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169.49</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169.49</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213</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05</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巩固脱贫攻坚成果衔接乡村振兴</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137.90</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137.90</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213</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05</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04</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农村基础设施建设</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14.47</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14.47</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213</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05</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05</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生产发展</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123.43</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123.43</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213</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07</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农村综合改革</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31.59</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31.59</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213</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07</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01</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对村级公益事业建设的补助</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31.59</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31.59</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229</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其他支出</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10.56</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10.56</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229</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99</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其他支出</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10.56</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10.56</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229</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99</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99</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其他支出</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10.56</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10.56</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合  计</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6941.18</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6676.22</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6669.22</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7.00</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264.96</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r>
    </w:tbl>
    <w:p>
      <w:pPr>
        <w:rPr>
          <w:rFonts w:ascii="仿宋" w:hAnsi="仿宋" w:eastAsia="仿宋" w:cs="仿宋"/>
          <w:position w:val="8"/>
          <w:sz w:val="20"/>
        </w:rPr>
      </w:pPr>
      <w:r>
        <w:rPr>
          <w:rFonts w:ascii="仿宋" w:hAnsi="仿宋" w:eastAsia="仿宋" w:cs="仿宋"/>
          <w:position w:val="8"/>
          <w:sz w:val="20"/>
        </w:rPr>
        <w:br w:type="page"/>
      </w:r>
    </w:p>
    <w:tbl>
      <w:tblPr>
        <w:tblStyle w:val="4"/>
        <w:tblW w:w="8400"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1200"/>
        <w:gridCol w:w="480"/>
        <w:gridCol w:w="720"/>
        <w:gridCol w:w="960"/>
        <w:gridCol w:w="240"/>
        <w:gridCol w:w="600"/>
        <w:gridCol w:w="600"/>
        <w:gridCol w:w="240"/>
        <w:gridCol w:w="960"/>
        <w:gridCol w:w="720"/>
        <w:gridCol w:w="480"/>
        <w:gridCol w:w="1200"/>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12"/>
            <w:tcBorders>
              <w:top w:val="nil"/>
              <w:left w:val="nil"/>
              <w:bottom w:val="nil"/>
              <w:right w:val="nil"/>
            </w:tcBorders>
            <w:vAlign w:val="center"/>
          </w:tcPr>
          <w:p>
            <w:pPr>
              <w:rPr>
                <w:rFonts w:ascii="仿宋" w:hAnsi="仿宋" w:eastAsia="仿宋" w:cs="仿宋"/>
                <w:position w:val="8"/>
                <w:sz w:val="20"/>
              </w:rPr>
            </w:pPr>
            <w:r>
              <w:rPr>
                <w:rFonts w:ascii="仿宋" w:hAnsi="仿宋" w:eastAsia="仿宋" w:cs="仿宋"/>
                <w:position w:val="8"/>
                <w:sz w:val="20"/>
              </w:rPr>
              <w:br w:type="page"/>
            </w:r>
          </w:p>
          <w:p>
            <w:pPr>
              <w:ind w:left="150"/>
              <w:jc w:val="left"/>
            </w:pPr>
            <w:r>
              <w:rPr>
                <w:rFonts w:ascii="仿宋" w:hAnsi="仿宋" w:eastAsia="仿宋" w:cs="仿宋"/>
                <w:position w:val="8"/>
                <w:sz w:val="20"/>
              </w:rPr>
              <w:t>表3</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12"/>
            <w:tcBorders>
              <w:top w:val="nil"/>
              <w:left w:val="nil"/>
              <w:bottom w:val="nil"/>
              <w:right w:val="nil"/>
            </w:tcBorders>
            <w:vAlign w:val="center"/>
          </w:tcPr>
          <w:p>
            <w:pPr>
              <w:ind w:left="150"/>
              <w:jc w:val="center"/>
            </w:pPr>
            <w:r>
              <w:rPr>
                <w:rFonts w:ascii="黑体" w:hAnsi="黑体" w:eastAsia="黑体" w:cs="黑体"/>
                <w:position w:val="15"/>
                <w:sz w:val="28"/>
              </w:rPr>
              <w:t>单位支出总体情况表</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200" w:type="dxa"/>
            <w:gridSpan w:val="6"/>
            <w:tcBorders>
              <w:top w:val="nil"/>
              <w:left w:val="nil"/>
              <w:right w:val="nil"/>
            </w:tcBorders>
            <w:vAlign w:val="center"/>
          </w:tcPr>
          <w:p>
            <w:pPr>
              <w:ind w:left="150"/>
              <w:jc w:val="left"/>
            </w:pPr>
            <w:r>
              <w:rPr>
                <w:rFonts w:ascii="仿宋" w:hAnsi="仿宋" w:eastAsia="仿宋" w:cs="仿宋"/>
                <w:position w:val="8"/>
                <w:sz w:val="20"/>
              </w:rPr>
              <w:t>编制单位：皮山县科克铁热克乡人民政府</w:t>
            </w:r>
          </w:p>
        </w:tc>
        <w:tc>
          <w:tcPr>
            <w:tcW w:w="4200" w:type="dxa"/>
            <w:gridSpan w:val="6"/>
            <w:tcBorders>
              <w:top w:val="nil"/>
              <w:left w:val="nil"/>
              <w:right w:val="nil"/>
            </w:tcBorders>
            <w:vAlign w:val="center"/>
          </w:tcPr>
          <w:p>
            <w:pPr>
              <w:ind w:left="150"/>
              <w:jc w:val="right"/>
            </w:pPr>
            <w:r>
              <w:rPr>
                <w:rFonts w:ascii="仿宋" w:hAnsi="仿宋" w:eastAsia="仿宋" w:cs="仿宋"/>
                <w:position w:val="8"/>
                <w:sz w:val="20"/>
              </w:rPr>
              <w:t>单位:万元</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200" w:type="dxa"/>
            <w:gridSpan w:val="6"/>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项目</w:t>
            </w:r>
          </w:p>
        </w:tc>
        <w:tc>
          <w:tcPr>
            <w:tcW w:w="4200" w:type="dxa"/>
            <w:gridSpan w:val="6"/>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支出预算</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功能分类科目编码</w:t>
            </w:r>
          </w:p>
        </w:tc>
        <w:tc>
          <w:tcPr>
            <w:tcW w:w="1680" w:type="dxa"/>
            <w:gridSpan w:val="2"/>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功能分类科目名称</w:t>
            </w:r>
          </w:p>
        </w:tc>
        <w:tc>
          <w:tcPr>
            <w:tcW w:w="1680" w:type="dxa"/>
            <w:gridSpan w:val="4"/>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合计</w:t>
            </w:r>
          </w:p>
        </w:tc>
        <w:tc>
          <w:tcPr>
            <w:tcW w:w="1680" w:type="dxa"/>
            <w:gridSpan w:val="2"/>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基本支出</w:t>
            </w:r>
          </w:p>
        </w:tc>
        <w:tc>
          <w:tcPr>
            <w:tcW w:w="1680" w:type="dxa"/>
            <w:gridSpan w:val="2"/>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项目支出</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类</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款</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w:t>
            </w:r>
          </w:p>
        </w:tc>
        <w:tc>
          <w:tcPr>
            <w:tcW w:w="1200" w:type="dxa"/>
            <w:gridSpan w:val="2"/>
            <w:vMerge w:val="continue"/>
          </w:tcPr>
          <w:p/>
        </w:tc>
        <w:tc>
          <w:tcPr>
            <w:tcW w:w="1200" w:type="dxa"/>
            <w:gridSpan w:val="2"/>
            <w:vMerge w:val="continue"/>
          </w:tcPr>
          <w:p/>
        </w:tc>
        <w:tc>
          <w:tcPr>
            <w:tcW w:w="1200" w:type="dxa"/>
            <w:gridSpan w:val="2"/>
            <w:vMerge w:val="continue"/>
          </w:tcPr>
          <w:p/>
        </w:tc>
        <w:tc>
          <w:tcPr>
            <w:tcW w:w="1200" w:type="dxa"/>
            <w:vMerge w:val="continue"/>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201</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一般公共服务支出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6325.68</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6234.4</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91.28</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201</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01</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人大事务</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4.00</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4.00</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201</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01</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08</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代表工作</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4.00</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4.00</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201</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03</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政府办公厅（室）及相关机构事务</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6253.4</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6234.4</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19.00</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201</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03</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01</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行政运行</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6234.4</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6234.4</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201</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03</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99</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其他政府办公厅（室）及相关机构事务支出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19.00</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19.00</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201</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29</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群众团体事务</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53.97</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53.97</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201</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29</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99</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其他群众团体事务支出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53.97</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53.97</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201</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32</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组织事务</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1.00</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1.00</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201</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32</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99</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其他组织事务支出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1.00</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1.00</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201</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34</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统战事务</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10.91</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10.91</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201</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34</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04</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宗教事务</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7.00</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7.00</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201</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34</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99</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其他统战事务支出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3.91</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3.91</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201</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36</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其他共产党事务支出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2.4</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2.4</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201</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36</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99</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其他共产党事务支出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2.4</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2.4</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208</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社会保障和就业支出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435.45</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434.82</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0.63</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208</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05</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行政事业单位养老支出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434.82</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434.82</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208</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05</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05</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机关事业单位基本养老保险缴费支出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289.88</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289.88</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208</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05</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06</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机关事业单位职业年金缴费支出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144.94</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144.94</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208</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07</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就业补助</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0.63</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0.63</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208</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07</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99</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其他就业补助支出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0.63</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0.63</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213</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农林水支出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169.49</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169.49</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213</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05</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巩固脱贫攻坚成果衔接乡村振兴</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137.90</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137.90</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213</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05</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04</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农村基础设施建设</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14.47</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14.47</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213</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05</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05</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生产发展</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123.43</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123.43</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213</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07</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农村综合改革</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31.59</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31.59</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213</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07</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01</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对村级公益事业建设的补助</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31.59</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31.59</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229</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其他支出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10.56</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10.56</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229</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99</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其他支出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10.56</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10.56</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229</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99</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99</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其他支出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10.56</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10.56</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合  计</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6941.18</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6669.22</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271.96</w:t>
            </w:r>
          </w:p>
        </w:tc>
      </w:tr>
    </w:tbl>
    <w:p>
      <w:r>
        <w:br w:type="textWrapping"/>
      </w:r>
    </w:p>
    <w:p>
      <w:r>
        <w:br w:type="page"/>
      </w:r>
    </w:p>
    <w:p/>
    <w:tbl>
      <w:tblPr>
        <w:tblStyle w:val="4"/>
        <w:tblW w:w="8400"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1200"/>
        <w:gridCol w:w="1200"/>
        <w:gridCol w:w="1200"/>
        <w:gridCol w:w="600"/>
        <w:gridCol w:w="600"/>
        <w:gridCol w:w="1200"/>
        <w:gridCol w:w="1200"/>
        <w:gridCol w:w="1200"/>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8"/>
            <w:tcBorders>
              <w:top w:val="nil"/>
              <w:left w:val="nil"/>
              <w:bottom w:val="nil"/>
              <w:right w:val="nil"/>
            </w:tcBorders>
            <w:vAlign w:val="center"/>
          </w:tcPr>
          <w:p>
            <w:pPr>
              <w:ind w:left="150"/>
              <w:jc w:val="left"/>
            </w:pPr>
            <w:r>
              <w:rPr>
                <w:rFonts w:ascii="仿宋" w:hAnsi="仿宋" w:eastAsia="仿宋" w:cs="仿宋"/>
                <w:position w:val="8"/>
                <w:sz w:val="20"/>
              </w:rPr>
              <w:t>表4</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8"/>
            <w:tcBorders>
              <w:top w:val="nil"/>
              <w:left w:val="nil"/>
              <w:bottom w:val="nil"/>
              <w:right w:val="nil"/>
            </w:tcBorders>
            <w:vAlign w:val="center"/>
          </w:tcPr>
          <w:p>
            <w:pPr>
              <w:ind w:left="150"/>
              <w:jc w:val="center"/>
            </w:pPr>
            <w:r>
              <w:rPr>
                <w:rFonts w:ascii="黑体" w:hAnsi="黑体" w:eastAsia="黑体" w:cs="黑体"/>
                <w:position w:val="15"/>
                <w:sz w:val="28"/>
              </w:rPr>
              <w:t>财政拨款收支预算总体情况表</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200" w:type="dxa"/>
            <w:gridSpan w:val="4"/>
            <w:tcBorders>
              <w:top w:val="nil"/>
              <w:left w:val="nil"/>
              <w:right w:val="nil"/>
            </w:tcBorders>
            <w:vAlign w:val="center"/>
          </w:tcPr>
          <w:p>
            <w:pPr>
              <w:ind w:left="150"/>
              <w:jc w:val="left"/>
            </w:pPr>
            <w:r>
              <w:rPr>
                <w:rFonts w:ascii="仿宋" w:hAnsi="仿宋" w:eastAsia="仿宋" w:cs="仿宋"/>
                <w:position w:val="8"/>
                <w:sz w:val="20"/>
              </w:rPr>
              <w:t>编制单位：皮山县科克铁热克乡人民政府</w:t>
            </w:r>
          </w:p>
        </w:tc>
        <w:tc>
          <w:tcPr>
            <w:tcW w:w="4200" w:type="dxa"/>
            <w:gridSpan w:val="4"/>
            <w:tcBorders>
              <w:top w:val="nil"/>
              <w:left w:val="nil"/>
              <w:right w:val="nil"/>
            </w:tcBorders>
            <w:vAlign w:val="center"/>
          </w:tcPr>
          <w:p>
            <w:pPr>
              <w:ind w:left="150"/>
              <w:jc w:val="right"/>
            </w:pPr>
            <w:r>
              <w:rPr>
                <w:rFonts w:ascii="仿宋" w:hAnsi="仿宋" w:eastAsia="仿宋" w:cs="仿宋"/>
                <w:position w:val="8"/>
                <w:sz w:val="20"/>
              </w:rPr>
              <w:t>单位:万元</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200" w:type="dxa"/>
            <w:gridSpan w:val="4"/>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财政拨款收入</w:t>
            </w:r>
          </w:p>
        </w:tc>
        <w:tc>
          <w:tcPr>
            <w:tcW w:w="4200" w:type="dxa"/>
            <w:gridSpan w:val="4"/>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财政拨款支出</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    目</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合    计</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功 能 分 类</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合    计</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一般公共预算</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政府性基金预算</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国有资本经营预算</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一、财政拨款（补助）</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6676.22</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201 一般公共服务支出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6241.4</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6241.4</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一般公共预算</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6676.22</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202 外交支出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政府性基金预算</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203 国防支出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国有资本经营预算</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204 公共安全支出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205 教育支出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206 科学技术支出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207 文化旅游体育与传媒支出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208 社会保障和就业支出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434.82</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434.82</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209 社会保险基金支出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210 卫生健康支出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211 节能环保支出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212 城乡社区支出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213 农林水支出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214 交通运输支出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215 资源勘探工业信息等支出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216 商业服务业等支出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217 金融支出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219 援助其他地区支出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220 自然资源海洋气象等支出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221 住房保障支出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222 粮油物资储备支出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223 国有资本经营预算支出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224 灾害防治及应急管理支出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227 预备费</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229 其他支出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230 转移性支出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231 债务还本支出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232 债务付息支出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233 债务发行费用支出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234 抗疫特别国债安排的支出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收  入  总  计</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6676.22</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支  出  总  计</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6676.22</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6676.22</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p>
        </w:tc>
      </w:tr>
    </w:tbl>
    <w:p>
      <w:r>
        <w:br w:type="textWrapping"/>
      </w:r>
    </w:p>
    <w:p>
      <w:pPr>
        <w:rPr>
          <w:rFonts w:ascii="仿宋" w:hAnsi="仿宋" w:eastAsia="仿宋" w:cs="仿宋"/>
          <w:position w:val="8"/>
          <w:sz w:val="20"/>
        </w:rPr>
      </w:pPr>
      <w:r>
        <w:rPr>
          <w:rFonts w:ascii="仿宋" w:hAnsi="仿宋" w:eastAsia="仿宋" w:cs="仿宋"/>
          <w:position w:val="8"/>
          <w:sz w:val="20"/>
        </w:rPr>
        <w:br w:type="page"/>
      </w:r>
    </w:p>
    <w:p>
      <w:pPr>
        <w:ind w:left="150"/>
        <w:jc w:val="left"/>
        <w:rPr>
          <w:rFonts w:ascii="仿宋" w:hAnsi="仿宋" w:eastAsia="仿宋" w:cs="仿宋"/>
          <w:position w:val="8"/>
          <w:sz w:val="20"/>
        </w:rPr>
      </w:pPr>
    </w:p>
    <w:tbl>
      <w:tblPr>
        <w:tblStyle w:val="4"/>
        <w:tblW w:w="8400"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1200"/>
        <w:gridCol w:w="480"/>
        <w:gridCol w:w="720"/>
        <w:gridCol w:w="960"/>
        <w:gridCol w:w="240"/>
        <w:gridCol w:w="600"/>
        <w:gridCol w:w="600"/>
        <w:gridCol w:w="240"/>
        <w:gridCol w:w="960"/>
        <w:gridCol w:w="720"/>
        <w:gridCol w:w="480"/>
        <w:gridCol w:w="1200"/>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12"/>
            <w:tcBorders>
              <w:top w:val="nil"/>
              <w:left w:val="nil"/>
              <w:bottom w:val="nil"/>
              <w:right w:val="nil"/>
            </w:tcBorders>
            <w:vAlign w:val="center"/>
          </w:tcPr>
          <w:p>
            <w:pPr>
              <w:ind w:left="150"/>
              <w:jc w:val="left"/>
            </w:pPr>
            <w:r>
              <w:rPr>
                <w:rFonts w:ascii="仿宋" w:hAnsi="仿宋" w:eastAsia="仿宋" w:cs="仿宋"/>
                <w:position w:val="8"/>
                <w:sz w:val="20"/>
              </w:rPr>
              <w:t>表5</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12"/>
            <w:tcBorders>
              <w:top w:val="nil"/>
              <w:left w:val="nil"/>
              <w:bottom w:val="nil"/>
              <w:right w:val="nil"/>
            </w:tcBorders>
            <w:vAlign w:val="center"/>
          </w:tcPr>
          <w:p>
            <w:pPr>
              <w:ind w:left="150"/>
              <w:jc w:val="center"/>
            </w:pPr>
            <w:r>
              <w:rPr>
                <w:rFonts w:ascii="黑体" w:hAnsi="黑体" w:eastAsia="黑体" w:cs="黑体"/>
                <w:position w:val="15"/>
                <w:sz w:val="28"/>
              </w:rPr>
              <w:t>一般公共预算支出情况表</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200" w:type="dxa"/>
            <w:gridSpan w:val="6"/>
            <w:tcBorders>
              <w:top w:val="nil"/>
              <w:left w:val="nil"/>
              <w:right w:val="nil"/>
            </w:tcBorders>
            <w:vAlign w:val="center"/>
          </w:tcPr>
          <w:p>
            <w:pPr>
              <w:ind w:left="150"/>
              <w:jc w:val="left"/>
            </w:pPr>
            <w:r>
              <w:rPr>
                <w:rFonts w:ascii="仿宋" w:hAnsi="仿宋" w:eastAsia="仿宋" w:cs="仿宋"/>
                <w:position w:val="8"/>
                <w:sz w:val="20"/>
              </w:rPr>
              <w:t>编制单位：皮山县科克铁热克乡人民政府</w:t>
            </w:r>
          </w:p>
        </w:tc>
        <w:tc>
          <w:tcPr>
            <w:tcW w:w="4200" w:type="dxa"/>
            <w:gridSpan w:val="6"/>
            <w:tcBorders>
              <w:top w:val="nil"/>
              <w:left w:val="nil"/>
              <w:right w:val="nil"/>
            </w:tcBorders>
            <w:vAlign w:val="center"/>
          </w:tcPr>
          <w:p>
            <w:pPr>
              <w:ind w:left="150"/>
              <w:jc w:val="right"/>
            </w:pPr>
            <w:r>
              <w:rPr>
                <w:rFonts w:ascii="仿宋" w:hAnsi="仿宋" w:eastAsia="仿宋" w:cs="仿宋"/>
                <w:position w:val="8"/>
                <w:sz w:val="20"/>
              </w:rPr>
              <w:t>单位:万元</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200" w:type="dxa"/>
            <w:gridSpan w:val="6"/>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项目</w:t>
            </w:r>
          </w:p>
        </w:tc>
        <w:tc>
          <w:tcPr>
            <w:tcW w:w="4200" w:type="dxa"/>
            <w:gridSpan w:val="6"/>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一般公共预算支出</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功能分类科目编码</w:t>
            </w:r>
          </w:p>
        </w:tc>
        <w:tc>
          <w:tcPr>
            <w:tcW w:w="1680" w:type="dxa"/>
            <w:gridSpan w:val="2"/>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功能分类科目名称</w:t>
            </w:r>
          </w:p>
        </w:tc>
        <w:tc>
          <w:tcPr>
            <w:tcW w:w="1680" w:type="dxa"/>
            <w:gridSpan w:val="4"/>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合   计</w:t>
            </w:r>
          </w:p>
        </w:tc>
        <w:tc>
          <w:tcPr>
            <w:tcW w:w="1680" w:type="dxa"/>
            <w:gridSpan w:val="2"/>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基本支出</w:t>
            </w:r>
          </w:p>
        </w:tc>
        <w:tc>
          <w:tcPr>
            <w:tcW w:w="1680" w:type="dxa"/>
            <w:gridSpan w:val="2"/>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项目支出</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类</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款</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w:t>
            </w:r>
          </w:p>
        </w:tc>
        <w:tc>
          <w:tcPr>
            <w:tcW w:w="1200" w:type="dxa"/>
            <w:gridSpan w:val="2"/>
            <w:vMerge w:val="continue"/>
          </w:tcPr>
          <w:p/>
        </w:tc>
        <w:tc>
          <w:tcPr>
            <w:tcW w:w="1200" w:type="dxa"/>
            <w:gridSpan w:val="2"/>
            <w:vMerge w:val="continue"/>
          </w:tcPr>
          <w:p/>
        </w:tc>
        <w:tc>
          <w:tcPr>
            <w:tcW w:w="1200" w:type="dxa"/>
            <w:gridSpan w:val="2"/>
            <w:vMerge w:val="continue"/>
          </w:tcPr>
          <w:p/>
        </w:tc>
        <w:tc>
          <w:tcPr>
            <w:tcW w:w="1200" w:type="dxa"/>
            <w:vMerge w:val="continue"/>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201</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一般公共服务支出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6241.4</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6234.4</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7.00</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201</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03</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政府办公厅（室）及相关机构事务</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6234.4</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6234.4</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201</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03</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01</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行政运行</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6234.4</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6234.4</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201</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34</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统战事务</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7.00</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7.00</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201</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34</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04</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宗教事务</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7.00</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7.00</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208</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社会保障和就业支出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434.82</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434.82</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208</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05</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行政事业单位养老支出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434.82</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434.82</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208</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05</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05</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机关事业单位基本养老保险缴费支出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289.88</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289.88</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208</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05</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06</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机关事业单位职业年金缴费支出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144.94</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144.94</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合  计</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6676.22</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6669.22</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7.00</w:t>
            </w:r>
          </w:p>
        </w:tc>
      </w:tr>
    </w:tbl>
    <w:p>
      <w:r>
        <w:br w:type="textWrapping"/>
      </w:r>
    </w:p>
    <w:p>
      <w:r>
        <w:br w:type="page"/>
      </w:r>
    </w:p>
    <w:p/>
    <w:tbl>
      <w:tblPr>
        <w:tblStyle w:val="4"/>
        <w:tblW w:w="8400"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1400"/>
        <w:gridCol w:w="280"/>
        <w:gridCol w:w="1120"/>
        <w:gridCol w:w="560"/>
        <w:gridCol w:w="840"/>
        <w:gridCol w:w="840"/>
        <w:gridCol w:w="560"/>
        <w:gridCol w:w="1120"/>
        <w:gridCol w:w="280"/>
        <w:gridCol w:w="1400"/>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10"/>
            <w:tcBorders>
              <w:top w:val="nil"/>
              <w:left w:val="nil"/>
              <w:bottom w:val="nil"/>
              <w:right w:val="nil"/>
            </w:tcBorders>
            <w:vAlign w:val="center"/>
          </w:tcPr>
          <w:p>
            <w:pPr>
              <w:ind w:left="150"/>
              <w:jc w:val="left"/>
            </w:pPr>
            <w:r>
              <w:rPr>
                <w:rFonts w:ascii="仿宋" w:hAnsi="仿宋" w:eastAsia="仿宋" w:cs="仿宋"/>
                <w:position w:val="8"/>
                <w:sz w:val="20"/>
              </w:rPr>
              <w:t>表6</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10"/>
            <w:tcBorders>
              <w:top w:val="nil"/>
              <w:left w:val="nil"/>
              <w:bottom w:val="nil"/>
              <w:right w:val="nil"/>
            </w:tcBorders>
            <w:vAlign w:val="center"/>
          </w:tcPr>
          <w:p>
            <w:pPr>
              <w:ind w:left="150"/>
              <w:jc w:val="center"/>
            </w:pPr>
            <w:r>
              <w:rPr>
                <w:rFonts w:ascii="黑体" w:hAnsi="黑体" w:eastAsia="黑体" w:cs="黑体"/>
                <w:position w:val="15"/>
                <w:sz w:val="28"/>
              </w:rPr>
              <w:t>一般公共预算基本支出情况表</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200" w:type="dxa"/>
            <w:gridSpan w:val="5"/>
            <w:tcBorders>
              <w:top w:val="nil"/>
              <w:left w:val="nil"/>
              <w:right w:val="nil"/>
            </w:tcBorders>
            <w:vAlign w:val="center"/>
          </w:tcPr>
          <w:p>
            <w:pPr>
              <w:ind w:left="150"/>
              <w:jc w:val="left"/>
            </w:pPr>
            <w:r>
              <w:rPr>
                <w:rFonts w:ascii="仿宋" w:hAnsi="仿宋" w:eastAsia="仿宋" w:cs="仿宋"/>
                <w:position w:val="8"/>
                <w:sz w:val="20"/>
              </w:rPr>
              <w:t>编制单位：皮山县科克铁热克乡人民政府</w:t>
            </w:r>
          </w:p>
        </w:tc>
        <w:tc>
          <w:tcPr>
            <w:tcW w:w="4200" w:type="dxa"/>
            <w:gridSpan w:val="5"/>
            <w:tcBorders>
              <w:top w:val="nil"/>
              <w:left w:val="nil"/>
              <w:right w:val="nil"/>
            </w:tcBorders>
            <w:vAlign w:val="center"/>
          </w:tcPr>
          <w:p>
            <w:pPr>
              <w:ind w:left="150"/>
              <w:jc w:val="right"/>
            </w:pPr>
            <w:r>
              <w:rPr>
                <w:rFonts w:ascii="仿宋" w:hAnsi="仿宋" w:eastAsia="仿宋" w:cs="仿宋"/>
                <w:position w:val="8"/>
                <w:sz w:val="20"/>
              </w:rPr>
              <w:t>单位:万元</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200" w:type="dxa"/>
            <w:gridSpan w:val="5"/>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项目</w:t>
            </w:r>
          </w:p>
        </w:tc>
        <w:tc>
          <w:tcPr>
            <w:tcW w:w="4200" w:type="dxa"/>
            <w:gridSpan w:val="5"/>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一般公共预算基本支出</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经济分类科目编码</w:t>
            </w:r>
          </w:p>
        </w:tc>
        <w:tc>
          <w:tcPr>
            <w:tcW w:w="1680" w:type="dxa"/>
            <w:gridSpan w:val="2"/>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经济分类科目名称</w:t>
            </w:r>
          </w:p>
        </w:tc>
        <w:tc>
          <w:tcPr>
            <w:tcW w:w="1680" w:type="dxa"/>
            <w:gridSpan w:val="2"/>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合    计</w:t>
            </w:r>
          </w:p>
        </w:tc>
        <w:tc>
          <w:tcPr>
            <w:tcW w:w="1680" w:type="dxa"/>
            <w:gridSpan w:val="2"/>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人员经费</w:t>
            </w:r>
          </w:p>
        </w:tc>
        <w:tc>
          <w:tcPr>
            <w:tcW w:w="1680" w:type="dxa"/>
            <w:gridSpan w:val="2"/>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公用经费</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40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类</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款</w:t>
            </w:r>
          </w:p>
        </w:tc>
        <w:tc>
          <w:tcPr>
            <w:tcW w:w="1400" w:type="dxa"/>
            <w:gridSpan w:val="2"/>
            <w:vMerge w:val="continue"/>
          </w:tcPr>
          <w:p/>
        </w:tc>
        <w:tc>
          <w:tcPr>
            <w:tcW w:w="1400" w:type="dxa"/>
            <w:gridSpan w:val="2"/>
            <w:vMerge w:val="continue"/>
          </w:tcPr>
          <w:p/>
        </w:tc>
        <w:tc>
          <w:tcPr>
            <w:tcW w:w="1400" w:type="dxa"/>
            <w:gridSpan w:val="2"/>
            <w:vMerge w:val="continue"/>
          </w:tcPr>
          <w:p/>
        </w:tc>
        <w:tc>
          <w:tcPr>
            <w:tcW w:w="1400" w:type="dxa"/>
            <w:vMerge w:val="continue"/>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4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301</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工资福利支出</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6508.05</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6508.05</w:t>
            </w:r>
          </w:p>
        </w:tc>
        <w:tc>
          <w:tcPr>
            <w:tcW w:w="140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4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301</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01</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基本工资</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654.84</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654.84</w:t>
            </w:r>
          </w:p>
        </w:tc>
        <w:tc>
          <w:tcPr>
            <w:tcW w:w="140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4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301</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02</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津贴补贴</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924.23</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924.23</w:t>
            </w:r>
          </w:p>
        </w:tc>
        <w:tc>
          <w:tcPr>
            <w:tcW w:w="140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4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301</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03</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奖金</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285.35</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285.35</w:t>
            </w:r>
          </w:p>
        </w:tc>
        <w:tc>
          <w:tcPr>
            <w:tcW w:w="140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4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301</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07</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绩效工资</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114.1</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114.1</w:t>
            </w:r>
          </w:p>
        </w:tc>
        <w:tc>
          <w:tcPr>
            <w:tcW w:w="140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4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301</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08</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机关事业单位基本养老保险缴费</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289.88</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289.88</w:t>
            </w:r>
          </w:p>
        </w:tc>
        <w:tc>
          <w:tcPr>
            <w:tcW w:w="140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4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301</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09</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职业年金缴费</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144.94</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144.94</w:t>
            </w:r>
          </w:p>
        </w:tc>
        <w:tc>
          <w:tcPr>
            <w:tcW w:w="140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4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301</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10</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城镇职工基本医疗保险缴费</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117.76</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117.76</w:t>
            </w:r>
          </w:p>
        </w:tc>
        <w:tc>
          <w:tcPr>
            <w:tcW w:w="140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4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301</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11</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公务员医疗补助缴费</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48.64</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48.64</w:t>
            </w:r>
          </w:p>
        </w:tc>
        <w:tc>
          <w:tcPr>
            <w:tcW w:w="140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4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301</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12</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其他社会保障缴费</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16.13</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16.13</w:t>
            </w:r>
          </w:p>
        </w:tc>
        <w:tc>
          <w:tcPr>
            <w:tcW w:w="140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4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301</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13</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住房公积金</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217.41</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217.41</w:t>
            </w:r>
          </w:p>
        </w:tc>
        <w:tc>
          <w:tcPr>
            <w:tcW w:w="140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4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301</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99</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其他工资福利支出</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3694.77</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3694.77</w:t>
            </w:r>
          </w:p>
        </w:tc>
        <w:tc>
          <w:tcPr>
            <w:tcW w:w="140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4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302</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商品和服务支出</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103.77</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19.87</w:t>
            </w:r>
          </w:p>
        </w:tc>
        <w:tc>
          <w:tcPr>
            <w:tcW w:w="14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83.9</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4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302</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01</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办公费</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73.6</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14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73.6</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4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302</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08</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取暖费</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26.17</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19.87</w:t>
            </w:r>
          </w:p>
        </w:tc>
        <w:tc>
          <w:tcPr>
            <w:tcW w:w="14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6.3</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4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302</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31</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公务用车运行维护费</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4.00</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14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4.00</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4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303</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对个人和家庭的补助支出</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57.40</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57.40</w:t>
            </w:r>
          </w:p>
        </w:tc>
        <w:tc>
          <w:tcPr>
            <w:tcW w:w="140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4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303</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02</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退休费</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50.99</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50.99</w:t>
            </w:r>
          </w:p>
        </w:tc>
        <w:tc>
          <w:tcPr>
            <w:tcW w:w="140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4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303</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05</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生活补助</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6.34</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6.34</w:t>
            </w:r>
          </w:p>
        </w:tc>
        <w:tc>
          <w:tcPr>
            <w:tcW w:w="140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4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303</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09</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奖励金</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0.07</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0.07</w:t>
            </w:r>
          </w:p>
        </w:tc>
        <w:tc>
          <w:tcPr>
            <w:tcW w:w="140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4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合  计</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6669.22</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6585.32</w:t>
            </w:r>
          </w:p>
        </w:tc>
        <w:tc>
          <w:tcPr>
            <w:tcW w:w="14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83.9</w:t>
            </w:r>
          </w:p>
        </w:tc>
      </w:tr>
    </w:tbl>
    <w:p>
      <w:r>
        <w:br w:type="textWrapping"/>
      </w:r>
    </w:p>
    <w:p>
      <w:pPr>
        <w:ind w:left="150"/>
        <w:jc w:val="left"/>
        <w:rPr>
          <w:rFonts w:ascii="仿宋" w:hAnsi="仿宋" w:eastAsia="仿宋" w:cs="仿宋"/>
          <w:position w:val="8"/>
          <w:sz w:val="20"/>
        </w:rPr>
      </w:pPr>
      <w:r>
        <w:rPr>
          <w:rFonts w:ascii="仿宋" w:hAnsi="仿宋" w:eastAsia="仿宋" w:cs="仿宋"/>
          <w:position w:val="8"/>
          <w:sz w:val="20"/>
        </w:rPr>
        <w:br w:type="page"/>
      </w:r>
    </w:p>
    <w:tbl>
      <w:tblPr>
        <w:tblStyle w:val="4"/>
        <w:tblW w:w="8400"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525"/>
        <w:gridCol w:w="75"/>
        <w:gridCol w:w="450"/>
        <w:gridCol w:w="150"/>
        <w:gridCol w:w="375"/>
        <w:gridCol w:w="225"/>
        <w:gridCol w:w="300"/>
        <w:gridCol w:w="300"/>
        <w:gridCol w:w="225"/>
        <w:gridCol w:w="375"/>
        <w:gridCol w:w="150"/>
        <w:gridCol w:w="450"/>
        <w:gridCol w:w="75"/>
        <w:gridCol w:w="525"/>
        <w:gridCol w:w="525"/>
        <w:gridCol w:w="75"/>
        <w:gridCol w:w="450"/>
        <w:gridCol w:w="150"/>
        <w:gridCol w:w="375"/>
        <w:gridCol w:w="225"/>
        <w:gridCol w:w="300"/>
        <w:gridCol w:w="300"/>
        <w:gridCol w:w="225"/>
        <w:gridCol w:w="375"/>
        <w:gridCol w:w="150"/>
        <w:gridCol w:w="450"/>
        <w:gridCol w:w="75"/>
        <w:gridCol w:w="525"/>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28"/>
            <w:tcBorders>
              <w:top w:val="nil"/>
              <w:left w:val="nil"/>
              <w:bottom w:val="nil"/>
              <w:right w:val="nil"/>
            </w:tcBorders>
            <w:vAlign w:val="center"/>
          </w:tcPr>
          <w:p>
            <w:pPr>
              <w:ind w:left="150"/>
              <w:jc w:val="left"/>
            </w:pPr>
            <w:r>
              <w:rPr>
                <w:rFonts w:ascii="仿宋" w:hAnsi="仿宋" w:eastAsia="仿宋" w:cs="仿宋"/>
                <w:position w:val="8"/>
                <w:sz w:val="20"/>
              </w:rPr>
              <w:t>表7</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28"/>
            <w:tcBorders>
              <w:top w:val="nil"/>
              <w:left w:val="nil"/>
              <w:bottom w:val="nil"/>
              <w:right w:val="nil"/>
            </w:tcBorders>
            <w:vAlign w:val="center"/>
          </w:tcPr>
          <w:p>
            <w:pPr>
              <w:ind w:left="150"/>
              <w:jc w:val="center"/>
            </w:pPr>
            <w:r>
              <w:rPr>
                <w:rFonts w:ascii="黑体" w:hAnsi="黑体" w:eastAsia="黑体" w:cs="黑体"/>
                <w:position w:val="15"/>
                <w:sz w:val="28"/>
              </w:rPr>
              <w:t>一般公共预算项目支出情况表</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200" w:type="dxa"/>
            <w:gridSpan w:val="14"/>
            <w:tcBorders>
              <w:top w:val="nil"/>
              <w:left w:val="nil"/>
              <w:right w:val="nil"/>
            </w:tcBorders>
            <w:vAlign w:val="center"/>
          </w:tcPr>
          <w:p>
            <w:pPr>
              <w:ind w:left="150"/>
              <w:jc w:val="left"/>
            </w:pPr>
            <w:r>
              <w:rPr>
                <w:rFonts w:ascii="仿宋" w:hAnsi="仿宋" w:eastAsia="仿宋" w:cs="仿宋"/>
                <w:position w:val="8"/>
                <w:sz w:val="20"/>
              </w:rPr>
              <w:t>编制单位：皮山县科克铁热克乡人民政府</w:t>
            </w:r>
          </w:p>
        </w:tc>
        <w:tc>
          <w:tcPr>
            <w:tcW w:w="4200" w:type="dxa"/>
            <w:gridSpan w:val="14"/>
            <w:tcBorders>
              <w:top w:val="nil"/>
              <w:left w:val="nil"/>
              <w:right w:val="nil"/>
            </w:tcBorders>
            <w:vAlign w:val="center"/>
          </w:tcPr>
          <w:p>
            <w:pPr>
              <w:ind w:left="150"/>
              <w:jc w:val="right"/>
            </w:pPr>
            <w:r>
              <w:rPr>
                <w:rFonts w:ascii="仿宋" w:hAnsi="仿宋" w:eastAsia="仿宋" w:cs="仿宋"/>
                <w:position w:val="8"/>
                <w:sz w:val="20"/>
              </w:rPr>
              <w:t>单位:万元</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0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科目编码</w:t>
            </w:r>
          </w:p>
        </w:tc>
        <w:tc>
          <w:tcPr>
            <w:tcW w:w="600" w:type="dxa"/>
            <w:gridSpan w:val="2"/>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科目名称</w:t>
            </w:r>
          </w:p>
        </w:tc>
        <w:tc>
          <w:tcPr>
            <w:tcW w:w="600" w:type="dxa"/>
            <w:gridSpan w:val="2"/>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项目名称</w:t>
            </w:r>
          </w:p>
        </w:tc>
        <w:tc>
          <w:tcPr>
            <w:tcW w:w="600" w:type="dxa"/>
            <w:gridSpan w:val="2"/>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项目支出合计</w:t>
            </w:r>
          </w:p>
        </w:tc>
        <w:tc>
          <w:tcPr>
            <w:tcW w:w="600" w:type="dxa"/>
            <w:gridSpan w:val="2"/>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工资福利支出</w:t>
            </w:r>
          </w:p>
        </w:tc>
        <w:tc>
          <w:tcPr>
            <w:tcW w:w="600" w:type="dxa"/>
            <w:gridSpan w:val="2"/>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商品和服务支出</w:t>
            </w:r>
          </w:p>
        </w:tc>
        <w:tc>
          <w:tcPr>
            <w:tcW w:w="600" w:type="dxa"/>
            <w:gridSpan w:val="2"/>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对个人和家庭的补助</w:t>
            </w:r>
          </w:p>
        </w:tc>
        <w:tc>
          <w:tcPr>
            <w:tcW w:w="600" w:type="dxa"/>
            <w:gridSpan w:val="2"/>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债务利息及费用支出</w:t>
            </w:r>
          </w:p>
        </w:tc>
        <w:tc>
          <w:tcPr>
            <w:tcW w:w="600" w:type="dxa"/>
            <w:gridSpan w:val="2"/>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资本性支出（基本建设）</w:t>
            </w:r>
          </w:p>
        </w:tc>
        <w:tc>
          <w:tcPr>
            <w:tcW w:w="600" w:type="dxa"/>
            <w:gridSpan w:val="2"/>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资本性支出</w:t>
            </w:r>
          </w:p>
        </w:tc>
        <w:tc>
          <w:tcPr>
            <w:tcW w:w="600" w:type="dxa"/>
            <w:gridSpan w:val="2"/>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对企业补助（基本建设）</w:t>
            </w:r>
          </w:p>
        </w:tc>
        <w:tc>
          <w:tcPr>
            <w:tcW w:w="600" w:type="dxa"/>
            <w:gridSpan w:val="2"/>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对企业补助</w:t>
            </w:r>
          </w:p>
        </w:tc>
        <w:tc>
          <w:tcPr>
            <w:tcW w:w="600" w:type="dxa"/>
            <w:gridSpan w:val="2"/>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对社会保障基金补助</w:t>
            </w:r>
          </w:p>
        </w:tc>
        <w:tc>
          <w:tcPr>
            <w:tcW w:w="600" w:type="dxa"/>
            <w:gridSpan w:val="2"/>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其他支出</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2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类</w:t>
            </w: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款</w:t>
            </w: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w:t>
            </w:r>
          </w:p>
        </w:tc>
        <w:tc>
          <w:tcPr>
            <w:tcW w:w="525" w:type="dxa"/>
            <w:gridSpan w:val="2"/>
            <w:vMerge w:val="continue"/>
          </w:tcPr>
          <w:p/>
        </w:tc>
        <w:tc>
          <w:tcPr>
            <w:tcW w:w="525" w:type="dxa"/>
            <w:gridSpan w:val="2"/>
            <w:vMerge w:val="continue"/>
          </w:tcPr>
          <w:p/>
        </w:tc>
        <w:tc>
          <w:tcPr>
            <w:tcW w:w="525" w:type="dxa"/>
            <w:gridSpan w:val="2"/>
            <w:vMerge w:val="continue"/>
          </w:tcPr>
          <w:p/>
        </w:tc>
        <w:tc>
          <w:tcPr>
            <w:tcW w:w="525" w:type="dxa"/>
            <w:gridSpan w:val="2"/>
            <w:vMerge w:val="continue"/>
          </w:tcPr>
          <w:p/>
        </w:tc>
        <w:tc>
          <w:tcPr>
            <w:tcW w:w="525" w:type="dxa"/>
            <w:vMerge w:val="continue"/>
          </w:tcPr>
          <w:p/>
        </w:tc>
        <w:tc>
          <w:tcPr>
            <w:tcW w:w="525" w:type="dxa"/>
            <w:vMerge w:val="continue"/>
          </w:tcPr>
          <w:p/>
        </w:tc>
        <w:tc>
          <w:tcPr>
            <w:tcW w:w="525" w:type="dxa"/>
            <w:gridSpan w:val="2"/>
            <w:vMerge w:val="continue"/>
          </w:tcPr>
          <w:p/>
        </w:tc>
        <w:tc>
          <w:tcPr>
            <w:tcW w:w="525" w:type="dxa"/>
            <w:gridSpan w:val="2"/>
            <w:vMerge w:val="continue"/>
          </w:tcPr>
          <w:p/>
        </w:tc>
        <w:tc>
          <w:tcPr>
            <w:tcW w:w="525" w:type="dxa"/>
            <w:gridSpan w:val="2"/>
            <w:vMerge w:val="continue"/>
          </w:tcPr>
          <w:p/>
        </w:tc>
        <w:tc>
          <w:tcPr>
            <w:tcW w:w="525" w:type="dxa"/>
            <w:gridSpan w:val="2"/>
            <w:vMerge w:val="continue"/>
          </w:tcPr>
          <w:p/>
        </w:tc>
        <w:tc>
          <w:tcPr>
            <w:tcW w:w="525" w:type="dxa"/>
            <w:gridSpan w:val="2"/>
            <w:vMerge w:val="continue"/>
          </w:tcPr>
          <w:p/>
        </w:tc>
        <w:tc>
          <w:tcPr>
            <w:tcW w:w="525" w:type="dxa"/>
            <w:gridSpan w:val="2"/>
            <w:vMerge w:val="continue"/>
          </w:tcPr>
          <w:p/>
        </w:tc>
        <w:tc>
          <w:tcPr>
            <w:tcW w:w="525" w:type="dxa"/>
            <w:vMerge w:val="continue"/>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201</w:t>
            </w: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一般公共服务支出</w:t>
            </w: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7.00</w:t>
            </w: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7.00</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201</w:t>
            </w: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34</w:t>
            </w: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统战事务</w:t>
            </w: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7.00</w:t>
            </w: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7.00</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201</w:t>
            </w: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34</w:t>
            </w: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04</w:t>
            </w: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宗教事务</w:t>
            </w: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2023年</w:t>
            </w:r>
            <w:r>
              <w:rPr>
                <w:rFonts w:hint="eastAsia" w:ascii="仿宋" w:hAnsi="仿宋" w:eastAsia="仿宋" w:cs="仿宋"/>
                <w:position w:val="8"/>
                <w:sz w:val="20"/>
                <w:lang w:eastAsia="zh-CN"/>
              </w:rPr>
              <w:t>驻村工作人员工作经费</w:t>
            </w:r>
            <w:r>
              <w:rPr>
                <w:rFonts w:ascii="仿宋" w:hAnsi="仿宋" w:eastAsia="仿宋" w:cs="仿宋"/>
                <w:position w:val="8"/>
                <w:sz w:val="20"/>
              </w:rPr>
              <w:t>-和地财行</w:t>
            </w:r>
            <w:r>
              <w:rPr>
                <w:rFonts w:hint="eastAsia" w:ascii="仿宋" w:hAnsi="仿宋" w:eastAsia="仿宋" w:cs="仿宋"/>
                <w:position w:val="8"/>
                <w:sz w:val="20"/>
              </w:rPr>
              <w:t>〔</w:t>
            </w:r>
            <w:r>
              <w:rPr>
                <w:rFonts w:ascii="仿宋" w:hAnsi="仿宋" w:eastAsia="仿宋" w:cs="仿宋"/>
                <w:position w:val="8"/>
                <w:sz w:val="20"/>
              </w:rPr>
              <w:t>2022</w:t>
            </w:r>
            <w:r>
              <w:rPr>
                <w:rFonts w:hint="eastAsia" w:ascii="仿宋" w:hAnsi="仿宋" w:eastAsia="仿宋" w:cs="仿宋"/>
                <w:position w:val="8"/>
                <w:sz w:val="20"/>
              </w:rPr>
              <w:t>〕</w:t>
            </w:r>
            <w:r>
              <w:rPr>
                <w:rFonts w:ascii="仿宋" w:hAnsi="仿宋" w:eastAsia="仿宋" w:cs="仿宋"/>
                <w:position w:val="8"/>
                <w:sz w:val="20"/>
              </w:rPr>
              <w:t>64号</w:t>
            </w: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7.00</w:t>
            </w: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7.00</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合  计</w:t>
            </w: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7.00</w:t>
            </w: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7.00</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r>
    </w:tbl>
    <w:p>
      <w:r>
        <w:br w:type="textWrapping"/>
      </w:r>
    </w:p>
    <w:p>
      <w:pPr>
        <w:ind w:left="150"/>
        <w:jc w:val="left"/>
        <w:rPr>
          <w:rFonts w:ascii="仿宋" w:hAnsi="仿宋" w:eastAsia="仿宋" w:cs="仿宋"/>
          <w:position w:val="8"/>
          <w:sz w:val="20"/>
        </w:rPr>
      </w:pPr>
      <w:r>
        <w:rPr>
          <w:rFonts w:ascii="仿宋" w:hAnsi="仿宋" w:eastAsia="仿宋" w:cs="仿宋"/>
          <w:position w:val="8"/>
          <w:sz w:val="20"/>
        </w:rPr>
        <w:br w:type="page"/>
      </w:r>
    </w:p>
    <w:tbl>
      <w:tblPr>
        <w:tblStyle w:val="4"/>
        <w:tblW w:w="8400"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1200"/>
        <w:gridCol w:w="480"/>
        <w:gridCol w:w="720"/>
        <w:gridCol w:w="960"/>
        <w:gridCol w:w="240"/>
        <w:gridCol w:w="600"/>
        <w:gridCol w:w="600"/>
        <w:gridCol w:w="240"/>
        <w:gridCol w:w="960"/>
        <w:gridCol w:w="720"/>
        <w:gridCol w:w="480"/>
        <w:gridCol w:w="1200"/>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12"/>
            <w:tcBorders>
              <w:top w:val="nil"/>
              <w:left w:val="nil"/>
              <w:bottom w:val="nil"/>
              <w:right w:val="nil"/>
            </w:tcBorders>
            <w:vAlign w:val="center"/>
          </w:tcPr>
          <w:p>
            <w:pPr>
              <w:ind w:left="150"/>
              <w:jc w:val="left"/>
            </w:pPr>
            <w:r>
              <w:rPr>
                <w:rFonts w:ascii="仿宋" w:hAnsi="仿宋" w:eastAsia="仿宋" w:cs="仿宋"/>
                <w:position w:val="8"/>
                <w:sz w:val="20"/>
              </w:rPr>
              <w:t>表8</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12"/>
            <w:tcBorders>
              <w:top w:val="nil"/>
              <w:left w:val="nil"/>
              <w:bottom w:val="nil"/>
              <w:right w:val="nil"/>
            </w:tcBorders>
            <w:vAlign w:val="center"/>
          </w:tcPr>
          <w:p>
            <w:pPr>
              <w:ind w:left="150"/>
              <w:jc w:val="center"/>
            </w:pPr>
            <w:r>
              <w:rPr>
                <w:rFonts w:ascii="黑体" w:hAnsi="黑体" w:eastAsia="黑体" w:cs="黑体"/>
                <w:position w:val="15"/>
                <w:sz w:val="28"/>
              </w:rPr>
              <w:t>政府性基金预算支出情况表</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200" w:type="dxa"/>
            <w:gridSpan w:val="6"/>
            <w:tcBorders>
              <w:top w:val="nil"/>
              <w:left w:val="nil"/>
              <w:right w:val="nil"/>
            </w:tcBorders>
            <w:vAlign w:val="center"/>
          </w:tcPr>
          <w:p>
            <w:pPr>
              <w:ind w:left="150"/>
              <w:jc w:val="left"/>
            </w:pPr>
            <w:r>
              <w:rPr>
                <w:rFonts w:ascii="仿宋" w:hAnsi="仿宋" w:eastAsia="仿宋" w:cs="仿宋"/>
                <w:position w:val="8"/>
                <w:sz w:val="20"/>
              </w:rPr>
              <w:t>编制单位：皮山县科克铁热克乡人民政府</w:t>
            </w:r>
          </w:p>
        </w:tc>
        <w:tc>
          <w:tcPr>
            <w:tcW w:w="4200" w:type="dxa"/>
            <w:gridSpan w:val="6"/>
            <w:tcBorders>
              <w:top w:val="nil"/>
              <w:left w:val="nil"/>
              <w:right w:val="nil"/>
            </w:tcBorders>
            <w:vAlign w:val="center"/>
          </w:tcPr>
          <w:p>
            <w:pPr>
              <w:ind w:left="150"/>
              <w:jc w:val="right"/>
            </w:pPr>
            <w:r>
              <w:rPr>
                <w:rFonts w:ascii="仿宋" w:hAnsi="仿宋" w:eastAsia="仿宋" w:cs="仿宋"/>
                <w:position w:val="8"/>
                <w:sz w:val="20"/>
              </w:rPr>
              <w:t>单位:万元</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200" w:type="dxa"/>
            <w:gridSpan w:val="6"/>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项目</w:t>
            </w:r>
          </w:p>
        </w:tc>
        <w:tc>
          <w:tcPr>
            <w:tcW w:w="4200" w:type="dxa"/>
            <w:gridSpan w:val="6"/>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政府性基金预算支出</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功能分类科目编码</w:t>
            </w:r>
          </w:p>
        </w:tc>
        <w:tc>
          <w:tcPr>
            <w:tcW w:w="1680" w:type="dxa"/>
            <w:gridSpan w:val="2"/>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功能分类科目名称</w:t>
            </w:r>
          </w:p>
        </w:tc>
        <w:tc>
          <w:tcPr>
            <w:tcW w:w="1680" w:type="dxa"/>
            <w:gridSpan w:val="4"/>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合   计</w:t>
            </w:r>
          </w:p>
        </w:tc>
        <w:tc>
          <w:tcPr>
            <w:tcW w:w="1680" w:type="dxa"/>
            <w:gridSpan w:val="2"/>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基本支出</w:t>
            </w:r>
          </w:p>
        </w:tc>
        <w:tc>
          <w:tcPr>
            <w:tcW w:w="1680" w:type="dxa"/>
            <w:gridSpan w:val="2"/>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项目支出</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类</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款</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w:t>
            </w:r>
          </w:p>
        </w:tc>
        <w:tc>
          <w:tcPr>
            <w:tcW w:w="1200" w:type="dxa"/>
            <w:gridSpan w:val="2"/>
            <w:vMerge w:val="continue"/>
          </w:tcPr>
          <w:p/>
        </w:tc>
        <w:tc>
          <w:tcPr>
            <w:tcW w:w="1200" w:type="dxa"/>
            <w:gridSpan w:val="2"/>
            <w:vMerge w:val="continue"/>
          </w:tcPr>
          <w:p/>
        </w:tc>
        <w:tc>
          <w:tcPr>
            <w:tcW w:w="1200" w:type="dxa"/>
            <w:gridSpan w:val="2"/>
            <w:vMerge w:val="continue"/>
          </w:tcPr>
          <w:p/>
        </w:tc>
        <w:tc>
          <w:tcPr>
            <w:tcW w:w="1200" w:type="dxa"/>
            <w:vMerge w:val="continue"/>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合  计</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Pr>
          <w:p/>
        </w:tc>
        <w:tc>
          <w:tcPr>
            <w:tcW w:w="1200" w:type="dxa"/>
            <w:gridSpan w:val="2"/>
          </w:tcPr>
          <w:p/>
        </w:tc>
        <w:tc>
          <w:tcPr>
            <w:tcW w:w="1200" w:type="dxa"/>
            <w:gridSpan w:val="2"/>
          </w:tcPr>
          <w:p/>
        </w:tc>
        <w:tc>
          <w:tcPr>
            <w:tcW w:w="1200" w:type="dxa"/>
            <w:gridSpan w:val="2"/>
          </w:tcPr>
          <w:p/>
        </w:tc>
        <w:tc>
          <w:tcPr>
            <w:tcW w:w="1200" w:type="dxa"/>
            <w:gridSpan w:val="2"/>
          </w:tcPr>
          <w:p/>
        </w:tc>
        <w:tc>
          <w:tcPr>
            <w:tcW w:w="1200" w:type="dxa"/>
            <w:gridSpan w:val="2"/>
          </w:tcPr>
          <w:p/>
        </w:tc>
        <w:tc>
          <w:tcPr>
            <w:tcW w:w="1200"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Pr>
          <w:p/>
        </w:tc>
        <w:tc>
          <w:tcPr>
            <w:tcW w:w="1200" w:type="dxa"/>
            <w:gridSpan w:val="2"/>
          </w:tcPr>
          <w:p/>
        </w:tc>
        <w:tc>
          <w:tcPr>
            <w:tcW w:w="1200" w:type="dxa"/>
            <w:gridSpan w:val="2"/>
          </w:tcPr>
          <w:p/>
        </w:tc>
        <w:tc>
          <w:tcPr>
            <w:tcW w:w="1200" w:type="dxa"/>
            <w:gridSpan w:val="2"/>
          </w:tcPr>
          <w:p/>
        </w:tc>
        <w:tc>
          <w:tcPr>
            <w:tcW w:w="1200" w:type="dxa"/>
            <w:gridSpan w:val="2"/>
          </w:tcPr>
          <w:p/>
        </w:tc>
        <w:tc>
          <w:tcPr>
            <w:tcW w:w="1200" w:type="dxa"/>
            <w:gridSpan w:val="2"/>
          </w:tcPr>
          <w:p/>
        </w:tc>
        <w:tc>
          <w:tcPr>
            <w:tcW w:w="1200"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Pr>
          <w:p/>
        </w:tc>
        <w:tc>
          <w:tcPr>
            <w:tcW w:w="1200" w:type="dxa"/>
            <w:gridSpan w:val="2"/>
          </w:tcPr>
          <w:p/>
        </w:tc>
        <w:tc>
          <w:tcPr>
            <w:tcW w:w="1200" w:type="dxa"/>
            <w:gridSpan w:val="2"/>
          </w:tcPr>
          <w:p/>
        </w:tc>
        <w:tc>
          <w:tcPr>
            <w:tcW w:w="1200" w:type="dxa"/>
            <w:gridSpan w:val="2"/>
          </w:tcPr>
          <w:p/>
        </w:tc>
        <w:tc>
          <w:tcPr>
            <w:tcW w:w="1200" w:type="dxa"/>
            <w:gridSpan w:val="2"/>
          </w:tcPr>
          <w:p/>
        </w:tc>
        <w:tc>
          <w:tcPr>
            <w:tcW w:w="1200" w:type="dxa"/>
            <w:gridSpan w:val="2"/>
          </w:tcPr>
          <w:p/>
        </w:tc>
        <w:tc>
          <w:tcPr>
            <w:tcW w:w="1200"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Pr>
          <w:p/>
        </w:tc>
        <w:tc>
          <w:tcPr>
            <w:tcW w:w="1200" w:type="dxa"/>
            <w:gridSpan w:val="2"/>
          </w:tcPr>
          <w:p/>
        </w:tc>
        <w:tc>
          <w:tcPr>
            <w:tcW w:w="1200" w:type="dxa"/>
            <w:gridSpan w:val="2"/>
          </w:tcPr>
          <w:p/>
        </w:tc>
        <w:tc>
          <w:tcPr>
            <w:tcW w:w="1200" w:type="dxa"/>
            <w:gridSpan w:val="2"/>
          </w:tcPr>
          <w:p/>
        </w:tc>
        <w:tc>
          <w:tcPr>
            <w:tcW w:w="1200" w:type="dxa"/>
            <w:gridSpan w:val="2"/>
          </w:tcPr>
          <w:p/>
        </w:tc>
        <w:tc>
          <w:tcPr>
            <w:tcW w:w="1200" w:type="dxa"/>
            <w:gridSpan w:val="2"/>
          </w:tcPr>
          <w:p/>
        </w:tc>
        <w:tc>
          <w:tcPr>
            <w:tcW w:w="1200"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Pr>
          <w:p/>
        </w:tc>
        <w:tc>
          <w:tcPr>
            <w:tcW w:w="1200" w:type="dxa"/>
            <w:gridSpan w:val="2"/>
          </w:tcPr>
          <w:p/>
        </w:tc>
        <w:tc>
          <w:tcPr>
            <w:tcW w:w="1200" w:type="dxa"/>
            <w:gridSpan w:val="2"/>
          </w:tcPr>
          <w:p/>
        </w:tc>
        <w:tc>
          <w:tcPr>
            <w:tcW w:w="1200" w:type="dxa"/>
            <w:gridSpan w:val="2"/>
          </w:tcPr>
          <w:p/>
        </w:tc>
        <w:tc>
          <w:tcPr>
            <w:tcW w:w="1200" w:type="dxa"/>
            <w:gridSpan w:val="2"/>
          </w:tcPr>
          <w:p/>
        </w:tc>
        <w:tc>
          <w:tcPr>
            <w:tcW w:w="1200" w:type="dxa"/>
            <w:gridSpan w:val="2"/>
          </w:tcPr>
          <w:p/>
        </w:tc>
        <w:tc>
          <w:tcPr>
            <w:tcW w:w="1200"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12"/>
            <w:tcBorders>
              <w:left w:val="nil"/>
              <w:bottom w:val="nil"/>
              <w:right w:val="nil"/>
            </w:tcBorders>
            <w:vAlign w:val="center"/>
          </w:tcPr>
          <w:p>
            <w:pPr>
              <w:ind w:left="150"/>
              <w:jc w:val="left"/>
            </w:pPr>
            <w:r>
              <w:rPr>
                <w:rFonts w:ascii="仿宋" w:hAnsi="仿宋" w:eastAsia="仿宋" w:cs="仿宋"/>
                <w:position w:val="8"/>
                <w:sz w:val="20"/>
              </w:rPr>
              <w:t>皮山县科克铁热克乡人民政府2023年没有使用政府性基金预算拨款安排的支出，政府性基金预算支出情况表为空表。</w:t>
            </w:r>
          </w:p>
        </w:tc>
      </w:tr>
    </w:tbl>
    <w:p>
      <w:r>
        <w:br w:type="textWrapping"/>
      </w:r>
    </w:p>
    <w:p>
      <w:pPr>
        <w:ind w:left="150"/>
        <w:jc w:val="left"/>
        <w:rPr>
          <w:rFonts w:ascii="仿宋" w:hAnsi="仿宋" w:eastAsia="仿宋" w:cs="仿宋"/>
          <w:position w:val="8"/>
          <w:sz w:val="20"/>
        </w:rPr>
      </w:pPr>
      <w:r>
        <w:rPr>
          <w:rFonts w:ascii="仿宋" w:hAnsi="仿宋" w:eastAsia="仿宋" w:cs="仿宋"/>
          <w:position w:val="8"/>
          <w:sz w:val="20"/>
        </w:rPr>
        <w:br w:type="page"/>
      </w:r>
    </w:p>
    <w:tbl>
      <w:tblPr>
        <w:tblStyle w:val="4"/>
        <w:tblW w:w="8400"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1200"/>
        <w:gridCol w:w="480"/>
        <w:gridCol w:w="720"/>
        <w:gridCol w:w="960"/>
        <w:gridCol w:w="240"/>
        <w:gridCol w:w="600"/>
        <w:gridCol w:w="600"/>
        <w:gridCol w:w="240"/>
        <w:gridCol w:w="960"/>
        <w:gridCol w:w="720"/>
        <w:gridCol w:w="480"/>
        <w:gridCol w:w="1200"/>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12"/>
            <w:tcBorders>
              <w:top w:val="nil"/>
              <w:left w:val="nil"/>
              <w:bottom w:val="nil"/>
              <w:right w:val="nil"/>
            </w:tcBorders>
            <w:vAlign w:val="center"/>
          </w:tcPr>
          <w:p>
            <w:pPr>
              <w:ind w:left="150"/>
              <w:jc w:val="left"/>
            </w:pPr>
            <w:r>
              <w:rPr>
                <w:rFonts w:ascii="仿宋" w:hAnsi="仿宋" w:eastAsia="仿宋" w:cs="仿宋"/>
                <w:position w:val="8"/>
                <w:sz w:val="20"/>
              </w:rPr>
              <w:t>表9</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12"/>
            <w:tcBorders>
              <w:top w:val="nil"/>
              <w:left w:val="nil"/>
              <w:bottom w:val="nil"/>
              <w:right w:val="nil"/>
            </w:tcBorders>
            <w:vAlign w:val="center"/>
          </w:tcPr>
          <w:p>
            <w:pPr>
              <w:ind w:left="150"/>
              <w:jc w:val="center"/>
            </w:pPr>
            <w:r>
              <w:rPr>
                <w:rFonts w:ascii="黑体" w:hAnsi="黑体" w:eastAsia="黑体" w:cs="黑体"/>
                <w:position w:val="15"/>
                <w:sz w:val="28"/>
              </w:rPr>
              <w:t>国有资本经营预算支出情况表</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200" w:type="dxa"/>
            <w:gridSpan w:val="6"/>
            <w:tcBorders>
              <w:top w:val="nil"/>
              <w:left w:val="nil"/>
              <w:right w:val="nil"/>
            </w:tcBorders>
            <w:vAlign w:val="center"/>
          </w:tcPr>
          <w:p>
            <w:pPr>
              <w:ind w:left="150"/>
              <w:jc w:val="left"/>
            </w:pPr>
            <w:r>
              <w:rPr>
                <w:rFonts w:ascii="仿宋" w:hAnsi="仿宋" w:eastAsia="仿宋" w:cs="仿宋"/>
                <w:position w:val="8"/>
                <w:sz w:val="20"/>
              </w:rPr>
              <w:t>编制单位：皮山县科克铁热克乡人民政府</w:t>
            </w:r>
          </w:p>
        </w:tc>
        <w:tc>
          <w:tcPr>
            <w:tcW w:w="4200" w:type="dxa"/>
            <w:gridSpan w:val="6"/>
            <w:tcBorders>
              <w:top w:val="nil"/>
              <w:left w:val="nil"/>
              <w:right w:val="nil"/>
            </w:tcBorders>
            <w:vAlign w:val="center"/>
          </w:tcPr>
          <w:p>
            <w:pPr>
              <w:ind w:left="150"/>
              <w:jc w:val="right"/>
            </w:pPr>
            <w:r>
              <w:rPr>
                <w:rFonts w:ascii="仿宋" w:hAnsi="仿宋" w:eastAsia="仿宋" w:cs="仿宋"/>
                <w:position w:val="8"/>
                <w:sz w:val="20"/>
              </w:rPr>
              <w:t>单位:万元</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200" w:type="dxa"/>
            <w:gridSpan w:val="6"/>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项目</w:t>
            </w:r>
          </w:p>
        </w:tc>
        <w:tc>
          <w:tcPr>
            <w:tcW w:w="4200" w:type="dxa"/>
            <w:gridSpan w:val="6"/>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国有资本经营预算支出</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功能分类科目编码</w:t>
            </w:r>
          </w:p>
        </w:tc>
        <w:tc>
          <w:tcPr>
            <w:tcW w:w="1680" w:type="dxa"/>
            <w:gridSpan w:val="2"/>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功能分类科目名称</w:t>
            </w:r>
          </w:p>
        </w:tc>
        <w:tc>
          <w:tcPr>
            <w:tcW w:w="1680" w:type="dxa"/>
            <w:gridSpan w:val="4"/>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合  计</w:t>
            </w:r>
          </w:p>
        </w:tc>
        <w:tc>
          <w:tcPr>
            <w:tcW w:w="1680" w:type="dxa"/>
            <w:gridSpan w:val="2"/>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基本支出</w:t>
            </w:r>
          </w:p>
        </w:tc>
        <w:tc>
          <w:tcPr>
            <w:tcW w:w="1680" w:type="dxa"/>
            <w:gridSpan w:val="2"/>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项目支出</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类</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款</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w:t>
            </w:r>
          </w:p>
        </w:tc>
        <w:tc>
          <w:tcPr>
            <w:tcW w:w="1200" w:type="dxa"/>
            <w:gridSpan w:val="2"/>
            <w:vMerge w:val="continue"/>
          </w:tcPr>
          <w:p/>
        </w:tc>
        <w:tc>
          <w:tcPr>
            <w:tcW w:w="1200" w:type="dxa"/>
            <w:gridSpan w:val="2"/>
            <w:vMerge w:val="continue"/>
          </w:tcPr>
          <w:p/>
        </w:tc>
        <w:tc>
          <w:tcPr>
            <w:tcW w:w="1200" w:type="dxa"/>
            <w:gridSpan w:val="2"/>
            <w:vMerge w:val="continue"/>
          </w:tcPr>
          <w:p/>
        </w:tc>
        <w:tc>
          <w:tcPr>
            <w:tcW w:w="1200" w:type="dxa"/>
            <w:vMerge w:val="continue"/>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合  计</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Pr>
          <w:p/>
        </w:tc>
        <w:tc>
          <w:tcPr>
            <w:tcW w:w="1200" w:type="dxa"/>
            <w:gridSpan w:val="2"/>
          </w:tcPr>
          <w:p/>
        </w:tc>
        <w:tc>
          <w:tcPr>
            <w:tcW w:w="1200" w:type="dxa"/>
            <w:gridSpan w:val="2"/>
          </w:tcPr>
          <w:p/>
        </w:tc>
        <w:tc>
          <w:tcPr>
            <w:tcW w:w="1200" w:type="dxa"/>
            <w:gridSpan w:val="2"/>
          </w:tcPr>
          <w:p/>
        </w:tc>
        <w:tc>
          <w:tcPr>
            <w:tcW w:w="1200" w:type="dxa"/>
            <w:gridSpan w:val="2"/>
          </w:tcPr>
          <w:p/>
        </w:tc>
        <w:tc>
          <w:tcPr>
            <w:tcW w:w="1200" w:type="dxa"/>
            <w:gridSpan w:val="2"/>
          </w:tcPr>
          <w:p/>
        </w:tc>
        <w:tc>
          <w:tcPr>
            <w:tcW w:w="1200"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Pr>
          <w:p/>
        </w:tc>
        <w:tc>
          <w:tcPr>
            <w:tcW w:w="1200" w:type="dxa"/>
            <w:gridSpan w:val="2"/>
          </w:tcPr>
          <w:p/>
        </w:tc>
        <w:tc>
          <w:tcPr>
            <w:tcW w:w="1200" w:type="dxa"/>
            <w:gridSpan w:val="2"/>
          </w:tcPr>
          <w:p/>
        </w:tc>
        <w:tc>
          <w:tcPr>
            <w:tcW w:w="1200" w:type="dxa"/>
            <w:gridSpan w:val="2"/>
          </w:tcPr>
          <w:p/>
        </w:tc>
        <w:tc>
          <w:tcPr>
            <w:tcW w:w="1200" w:type="dxa"/>
            <w:gridSpan w:val="2"/>
          </w:tcPr>
          <w:p/>
        </w:tc>
        <w:tc>
          <w:tcPr>
            <w:tcW w:w="1200" w:type="dxa"/>
            <w:gridSpan w:val="2"/>
          </w:tcPr>
          <w:p/>
        </w:tc>
        <w:tc>
          <w:tcPr>
            <w:tcW w:w="1200"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Pr>
          <w:p/>
        </w:tc>
        <w:tc>
          <w:tcPr>
            <w:tcW w:w="1200" w:type="dxa"/>
            <w:gridSpan w:val="2"/>
          </w:tcPr>
          <w:p/>
        </w:tc>
        <w:tc>
          <w:tcPr>
            <w:tcW w:w="1200" w:type="dxa"/>
            <w:gridSpan w:val="2"/>
          </w:tcPr>
          <w:p/>
        </w:tc>
        <w:tc>
          <w:tcPr>
            <w:tcW w:w="1200" w:type="dxa"/>
            <w:gridSpan w:val="2"/>
          </w:tcPr>
          <w:p/>
        </w:tc>
        <w:tc>
          <w:tcPr>
            <w:tcW w:w="1200" w:type="dxa"/>
            <w:gridSpan w:val="2"/>
          </w:tcPr>
          <w:p/>
        </w:tc>
        <w:tc>
          <w:tcPr>
            <w:tcW w:w="1200" w:type="dxa"/>
            <w:gridSpan w:val="2"/>
          </w:tcPr>
          <w:p/>
        </w:tc>
        <w:tc>
          <w:tcPr>
            <w:tcW w:w="1200"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Pr>
          <w:p/>
        </w:tc>
        <w:tc>
          <w:tcPr>
            <w:tcW w:w="1200" w:type="dxa"/>
            <w:gridSpan w:val="2"/>
          </w:tcPr>
          <w:p/>
        </w:tc>
        <w:tc>
          <w:tcPr>
            <w:tcW w:w="1200" w:type="dxa"/>
            <w:gridSpan w:val="2"/>
          </w:tcPr>
          <w:p/>
        </w:tc>
        <w:tc>
          <w:tcPr>
            <w:tcW w:w="1200" w:type="dxa"/>
            <w:gridSpan w:val="2"/>
          </w:tcPr>
          <w:p/>
        </w:tc>
        <w:tc>
          <w:tcPr>
            <w:tcW w:w="1200" w:type="dxa"/>
            <w:gridSpan w:val="2"/>
          </w:tcPr>
          <w:p/>
        </w:tc>
        <w:tc>
          <w:tcPr>
            <w:tcW w:w="1200" w:type="dxa"/>
            <w:gridSpan w:val="2"/>
          </w:tcPr>
          <w:p/>
        </w:tc>
        <w:tc>
          <w:tcPr>
            <w:tcW w:w="1200"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Pr>
          <w:p/>
        </w:tc>
        <w:tc>
          <w:tcPr>
            <w:tcW w:w="1200" w:type="dxa"/>
            <w:gridSpan w:val="2"/>
          </w:tcPr>
          <w:p/>
        </w:tc>
        <w:tc>
          <w:tcPr>
            <w:tcW w:w="1200" w:type="dxa"/>
            <w:gridSpan w:val="2"/>
          </w:tcPr>
          <w:p/>
        </w:tc>
        <w:tc>
          <w:tcPr>
            <w:tcW w:w="1200" w:type="dxa"/>
            <w:gridSpan w:val="2"/>
          </w:tcPr>
          <w:p/>
        </w:tc>
        <w:tc>
          <w:tcPr>
            <w:tcW w:w="1200" w:type="dxa"/>
            <w:gridSpan w:val="2"/>
          </w:tcPr>
          <w:p/>
        </w:tc>
        <w:tc>
          <w:tcPr>
            <w:tcW w:w="1200" w:type="dxa"/>
            <w:gridSpan w:val="2"/>
          </w:tcPr>
          <w:p/>
        </w:tc>
        <w:tc>
          <w:tcPr>
            <w:tcW w:w="1200"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12"/>
            <w:tcBorders>
              <w:left w:val="nil"/>
              <w:bottom w:val="nil"/>
              <w:right w:val="nil"/>
            </w:tcBorders>
            <w:vAlign w:val="center"/>
          </w:tcPr>
          <w:p>
            <w:pPr>
              <w:ind w:left="150"/>
              <w:jc w:val="left"/>
            </w:pPr>
            <w:r>
              <w:rPr>
                <w:rFonts w:ascii="仿宋" w:hAnsi="仿宋" w:eastAsia="仿宋" w:cs="仿宋"/>
                <w:position w:val="8"/>
                <w:sz w:val="20"/>
              </w:rPr>
              <w:t>皮山县科克铁热克乡人民政府2023年没有安排国有资本经营预算的支出，国有资本经营预算支出情况表为空表。</w:t>
            </w:r>
          </w:p>
        </w:tc>
      </w:tr>
    </w:tbl>
    <w:p>
      <w:r>
        <w:br w:type="textWrapping"/>
      </w:r>
    </w:p>
    <w:p>
      <w:pPr>
        <w:ind w:left="150"/>
        <w:jc w:val="left"/>
        <w:rPr>
          <w:rFonts w:ascii="仿宋" w:hAnsi="仿宋" w:eastAsia="仿宋" w:cs="仿宋"/>
          <w:position w:val="8"/>
          <w:sz w:val="20"/>
        </w:rPr>
      </w:pPr>
      <w:r>
        <w:rPr>
          <w:rFonts w:ascii="仿宋" w:hAnsi="仿宋" w:eastAsia="仿宋" w:cs="仿宋"/>
          <w:position w:val="8"/>
          <w:sz w:val="20"/>
        </w:rPr>
        <w:br w:type="page"/>
      </w:r>
    </w:p>
    <w:tbl>
      <w:tblPr>
        <w:tblStyle w:val="4"/>
        <w:tblW w:w="8400"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1680"/>
        <w:gridCol w:w="1120"/>
        <w:gridCol w:w="560"/>
        <w:gridCol w:w="840"/>
        <w:gridCol w:w="840"/>
        <w:gridCol w:w="560"/>
        <w:gridCol w:w="1120"/>
        <w:gridCol w:w="1680"/>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8"/>
            <w:tcBorders>
              <w:top w:val="nil"/>
              <w:left w:val="nil"/>
              <w:bottom w:val="nil"/>
              <w:right w:val="nil"/>
            </w:tcBorders>
            <w:vAlign w:val="center"/>
          </w:tcPr>
          <w:p>
            <w:pPr>
              <w:ind w:left="150"/>
              <w:jc w:val="left"/>
            </w:pPr>
            <w:r>
              <w:rPr>
                <w:rFonts w:ascii="仿宋" w:hAnsi="仿宋" w:eastAsia="仿宋" w:cs="仿宋"/>
                <w:position w:val="8"/>
                <w:sz w:val="20"/>
              </w:rPr>
              <w:t>表10</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8"/>
            <w:tcBorders>
              <w:top w:val="nil"/>
              <w:left w:val="nil"/>
              <w:bottom w:val="nil"/>
              <w:right w:val="nil"/>
            </w:tcBorders>
            <w:vAlign w:val="center"/>
          </w:tcPr>
          <w:p>
            <w:pPr>
              <w:ind w:left="150"/>
              <w:jc w:val="center"/>
            </w:pPr>
            <w:r>
              <w:rPr>
                <w:rFonts w:ascii="黑体" w:hAnsi="黑体" w:eastAsia="黑体" w:cs="黑体"/>
                <w:position w:val="15"/>
                <w:sz w:val="28"/>
              </w:rPr>
              <w:t>财政拨款“三公”经费支出情况表</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200" w:type="dxa"/>
            <w:gridSpan w:val="4"/>
            <w:tcBorders>
              <w:top w:val="nil"/>
              <w:left w:val="nil"/>
              <w:right w:val="nil"/>
            </w:tcBorders>
            <w:vAlign w:val="center"/>
          </w:tcPr>
          <w:p>
            <w:pPr>
              <w:ind w:left="150"/>
              <w:jc w:val="left"/>
            </w:pPr>
            <w:r>
              <w:rPr>
                <w:rFonts w:ascii="仿宋" w:hAnsi="仿宋" w:eastAsia="仿宋" w:cs="仿宋"/>
                <w:position w:val="8"/>
                <w:sz w:val="20"/>
              </w:rPr>
              <w:t>编制单位：皮山县科克铁热克乡人民政府</w:t>
            </w:r>
          </w:p>
        </w:tc>
        <w:tc>
          <w:tcPr>
            <w:tcW w:w="4200" w:type="dxa"/>
            <w:gridSpan w:val="4"/>
            <w:tcBorders>
              <w:top w:val="nil"/>
              <w:left w:val="nil"/>
              <w:right w:val="nil"/>
            </w:tcBorders>
            <w:vAlign w:val="center"/>
          </w:tcPr>
          <w:p>
            <w:pPr>
              <w:ind w:left="150"/>
              <w:jc w:val="right"/>
            </w:pPr>
            <w:r>
              <w:rPr>
                <w:rFonts w:ascii="仿宋" w:hAnsi="仿宋" w:eastAsia="仿宋" w:cs="仿宋"/>
                <w:position w:val="8"/>
                <w:sz w:val="20"/>
              </w:rPr>
              <w:t>单位:万元</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800" w:type="dxa"/>
            <w:gridSpan w:val="2"/>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三公支出内容</w:t>
            </w:r>
          </w:p>
        </w:tc>
        <w:tc>
          <w:tcPr>
            <w:tcW w:w="2800" w:type="dxa"/>
            <w:gridSpan w:val="4"/>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合计</w:t>
            </w:r>
          </w:p>
        </w:tc>
        <w:tc>
          <w:tcPr>
            <w:tcW w:w="280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资金来源</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680" w:type="dxa"/>
            <w:vMerge w:val="continue"/>
          </w:tcPr>
          <w:p/>
        </w:tc>
        <w:tc>
          <w:tcPr>
            <w:tcW w:w="1680" w:type="dxa"/>
            <w:gridSpan w:val="2"/>
            <w:vMerge w:val="continue"/>
          </w:tcPr>
          <w:p/>
        </w:tc>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一般公共预算</w:t>
            </w:r>
          </w:p>
        </w:tc>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政府性基金</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国有资本经营预算</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68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合计</w:t>
            </w:r>
          </w:p>
        </w:tc>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4.00</w:t>
            </w:r>
          </w:p>
        </w:tc>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4.00</w:t>
            </w:r>
          </w:p>
        </w:tc>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68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因公出国(境)费用</w:t>
            </w:r>
          </w:p>
        </w:tc>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68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公务接待费</w:t>
            </w:r>
          </w:p>
        </w:tc>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68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公务用车购置及运行费（小计）</w:t>
            </w:r>
          </w:p>
        </w:tc>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4.00</w:t>
            </w:r>
          </w:p>
        </w:tc>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4.00</w:t>
            </w:r>
          </w:p>
        </w:tc>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68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其中：公务用车购置费</w:t>
            </w:r>
          </w:p>
        </w:tc>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68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公务用车运行费</w:t>
            </w:r>
          </w:p>
        </w:tc>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4.00</w:t>
            </w:r>
          </w:p>
        </w:tc>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4.00</w:t>
            </w:r>
          </w:p>
        </w:tc>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p>
        </w:tc>
      </w:tr>
    </w:tbl>
    <w:p>
      <w:r>
        <w:br w:type="textWrapping"/>
      </w:r>
    </w:p>
    <w:p>
      <w:pPr>
        <w:rPr>
          <w:rFonts w:ascii="黑体" w:hAnsi="黑体" w:eastAsia="黑体" w:cs="黑体"/>
          <w:position w:val="30"/>
          <w:sz w:val="42"/>
        </w:rPr>
      </w:pPr>
      <w:r>
        <w:rPr>
          <w:rFonts w:ascii="黑体" w:hAnsi="黑体" w:eastAsia="黑体" w:cs="黑体"/>
          <w:position w:val="30"/>
          <w:sz w:val="42"/>
        </w:rPr>
        <w:br w:type="page"/>
      </w:r>
    </w:p>
    <w:p>
      <w:pPr>
        <w:keepNext w:val="0"/>
        <w:keepLines w:val="0"/>
        <w:pageBreakBefore w:val="0"/>
        <w:widowControl w:val="0"/>
        <w:kinsoku/>
        <w:wordWrap/>
        <w:topLinePunct w:val="0"/>
        <w:autoSpaceDE/>
        <w:autoSpaceDN/>
        <w:bidi w:val="0"/>
        <w:adjustRightInd/>
        <w:snapToGrid/>
        <w:spacing w:line="540" w:lineRule="exact"/>
        <w:jc w:val="center"/>
        <w:textAlignment w:val="auto"/>
        <w:rPr>
          <w:rFonts w:hint="eastAsia" w:ascii="方正小标宋简体" w:hAnsi="宋体" w:eastAsia="方正小标宋简体" w:cs="Times New Roman"/>
          <w:color w:val="000000"/>
          <w:kern w:val="2"/>
          <w:sz w:val="44"/>
          <w:szCs w:val="44"/>
          <w:shd w:val="clear" w:color="auto" w:fill="FFFFFF"/>
          <w:lang w:val="en-US" w:eastAsia="zh-CN" w:bidi="ar-SA"/>
        </w:rPr>
      </w:pPr>
      <w:r>
        <w:rPr>
          <w:rFonts w:hint="eastAsia" w:ascii="方正小标宋简体" w:hAnsi="宋体" w:eastAsia="方正小标宋简体" w:cs="Times New Roman"/>
          <w:color w:val="000000"/>
          <w:kern w:val="2"/>
          <w:sz w:val="44"/>
          <w:szCs w:val="44"/>
          <w:shd w:val="clear" w:color="auto" w:fill="FFFFFF"/>
          <w:lang w:val="en-US" w:eastAsia="zh-CN" w:bidi="ar-SA"/>
        </w:rPr>
        <w:t>第三部分 2023年单位预算情况说明</w:t>
      </w:r>
    </w:p>
    <w:p>
      <w:pPr>
        <w:keepNext w:val="0"/>
        <w:keepLines w:val="0"/>
        <w:pageBreakBefore w:val="0"/>
        <w:widowControl w:val="0"/>
        <w:kinsoku/>
        <w:wordWrap/>
        <w:overflowPunct/>
        <w:topLinePunct w:val="0"/>
        <w:autoSpaceDE/>
        <w:autoSpaceDN/>
        <w:bidi w:val="0"/>
        <w:adjustRightInd/>
        <w:snapToGrid/>
        <w:spacing w:before="150" w:line="560" w:lineRule="exact"/>
        <w:ind w:left="200" w:right="200" w:firstLine="500"/>
        <w:jc w:val="both"/>
        <w:textAlignment w:val="auto"/>
        <w:outlineLvl w:val="9"/>
        <w:rPr>
          <w:rFonts w:hint="eastAsia" w:ascii="黑体" w:hAnsi="黑体" w:eastAsia="黑体" w:cs="黑体"/>
          <w:b w:val="0"/>
          <w:bCs w:val="0"/>
          <w:sz w:val="32"/>
          <w:szCs w:val="32"/>
        </w:rPr>
      </w:pPr>
      <w:r>
        <w:rPr>
          <w:rFonts w:hint="eastAsia" w:ascii="黑体" w:hAnsi="黑体" w:eastAsia="黑体" w:cs="黑体"/>
          <w:b w:val="0"/>
          <w:bCs w:val="0"/>
          <w:position w:val="20"/>
          <w:sz w:val="32"/>
          <w:szCs w:val="32"/>
        </w:rPr>
        <w:t>一、关于皮山县科克铁热克乡人民政府2023年收支预算情况的总体说明</w:t>
      </w:r>
    </w:p>
    <w:p>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rFonts w:hint="eastAsia" w:ascii="仿宋" w:hAnsi="仿宋" w:eastAsia="仿宋" w:cs="仿宋"/>
          <w:sz w:val="32"/>
          <w:szCs w:val="32"/>
        </w:rPr>
      </w:pPr>
      <w:r>
        <w:rPr>
          <w:rFonts w:hint="eastAsia" w:ascii="仿宋" w:hAnsi="仿宋" w:eastAsia="仿宋" w:cs="仿宋"/>
          <w:position w:val="10"/>
          <w:sz w:val="32"/>
          <w:szCs w:val="32"/>
        </w:rPr>
        <w:t>按照全口径预算的原则，皮山县科克铁热克乡人民政府2023年所有收入和支出均纳入单位预算管理。收支总预算6941.18万元。</w:t>
      </w:r>
    </w:p>
    <w:p>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rFonts w:hint="eastAsia" w:ascii="仿宋" w:hAnsi="仿宋" w:eastAsia="仿宋" w:cs="仿宋"/>
          <w:sz w:val="32"/>
          <w:szCs w:val="32"/>
        </w:rPr>
      </w:pPr>
      <w:r>
        <w:rPr>
          <w:rFonts w:hint="eastAsia" w:ascii="仿宋" w:hAnsi="仿宋" w:eastAsia="仿宋" w:cs="仿宋"/>
          <w:position w:val="10"/>
          <w:sz w:val="32"/>
          <w:szCs w:val="32"/>
        </w:rPr>
        <w:t>收入预算包括：一般公共预算、财政拨款。</w:t>
      </w:r>
    </w:p>
    <w:p>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rFonts w:hint="eastAsia" w:ascii="仿宋" w:hAnsi="仿宋" w:eastAsia="仿宋" w:cs="仿宋"/>
          <w:sz w:val="32"/>
          <w:szCs w:val="32"/>
        </w:rPr>
      </w:pPr>
      <w:r>
        <w:rPr>
          <w:rFonts w:hint="eastAsia" w:ascii="仿宋" w:hAnsi="仿宋" w:eastAsia="仿宋" w:cs="仿宋"/>
          <w:position w:val="10"/>
          <w:sz w:val="32"/>
          <w:szCs w:val="32"/>
        </w:rPr>
        <w:t>支出预算包括：一般公共服务支出、社会保障和就业支出、农林水支出、其他支出。</w:t>
      </w:r>
    </w:p>
    <w:p>
      <w:pPr>
        <w:keepNext w:val="0"/>
        <w:keepLines w:val="0"/>
        <w:pageBreakBefore w:val="0"/>
        <w:widowControl w:val="0"/>
        <w:kinsoku/>
        <w:wordWrap/>
        <w:overflowPunct/>
        <w:topLinePunct w:val="0"/>
        <w:autoSpaceDE/>
        <w:autoSpaceDN/>
        <w:bidi w:val="0"/>
        <w:adjustRightInd/>
        <w:snapToGrid/>
        <w:spacing w:before="150" w:line="560" w:lineRule="exact"/>
        <w:ind w:left="200" w:right="200" w:firstLine="500"/>
        <w:jc w:val="both"/>
        <w:textAlignment w:val="auto"/>
        <w:outlineLvl w:val="9"/>
        <w:rPr>
          <w:rFonts w:hint="eastAsia" w:ascii="黑体" w:hAnsi="黑体" w:eastAsia="黑体" w:cs="黑体"/>
          <w:b w:val="0"/>
          <w:bCs w:val="0"/>
          <w:position w:val="20"/>
          <w:sz w:val="32"/>
          <w:szCs w:val="32"/>
        </w:rPr>
      </w:pPr>
      <w:r>
        <w:rPr>
          <w:rFonts w:hint="eastAsia" w:ascii="黑体" w:hAnsi="黑体" w:eastAsia="黑体" w:cs="黑体"/>
          <w:b w:val="0"/>
          <w:bCs w:val="0"/>
          <w:position w:val="20"/>
          <w:sz w:val="32"/>
          <w:szCs w:val="32"/>
        </w:rPr>
        <w:t>二、关于皮山县科</w:t>
      </w:r>
      <w:bookmarkStart w:id="0" w:name="_GoBack"/>
      <w:bookmarkEnd w:id="0"/>
      <w:r>
        <w:rPr>
          <w:rFonts w:hint="eastAsia" w:ascii="黑体" w:hAnsi="黑体" w:eastAsia="黑体" w:cs="黑体"/>
          <w:b w:val="0"/>
          <w:bCs w:val="0"/>
          <w:position w:val="20"/>
          <w:sz w:val="32"/>
          <w:szCs w:val="32"/>
        </w:rPr>
        <w:t>克铁热克乡人民政府2023年收入预算情况说明</w:t>
      </w:r>
    </w:p>
    <w:p>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rFonts w:hint="eastAsia" w:ascii="仿宋" w:hAnsi="仿宋" w:eastAsia="仿宋" w:cs="仿宋"/>
          <w:position w:val="10"/>
          <w:sz w:val="32"/>
          <w:szCs w:val="32"/>
        </w:rPr>
      </w:pPr>
      <w:r>
        <w:rPr>
          <w:rFonts w:hint="eastAsia" w:ascii="仿宋" w:hAnsi="仿宋" w:eastAsia="仿宋" w:cs="仿宋"/>
          <w:position w:val="10"/>
          <w:sz w:val="32"/>
          <w:szCs w:val="32"/>
        </w:rPr>
        <w:t>皮山县科克铁热克乡人民政府收入预算6941.18万元，其中：</w:t>
      </w:r>
    </w:p>
    <w:p>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rFonts w:hint="eastAsia" w:ascii="仿宋" w:hAnsi="仿宋" w:eastAsia="仿宋" w:cs="仿宋"/>
          <w:position w:val="10"/>
          <w:sz w:val="32"/>
          <w:szCs w:val="32"/>
        </w:rPr>
      </w:pPr>
      <w:r>
        <w:rPr>
          <w:rFonts w:hint="eastAsia" w:ascii="仿宋" w:hAnsi="仿宋" w:eastAsia="仿宋" w:cs="仿宋"/>
          <w:position w:val="10"/>
          <w:sz w:val="32"/>
          <w:szCs w:val="32"/>
        </w:rPr>
        <w:t>一般公共预算6669.22万元，占96.08%，比上年预算增加1144.53万元，增长20.72%，主要原因是预算项目增加、人员薪资增资。</w:t>
      </w:r>
    </w:p>
    <w:p>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rFonts w:hint="eastAsia" w:ascii="仿宋" w:hAnsi="仿宋" w:eastAsia="仿宋" w:cs="仿宋"/>
          <w:position w:val="10"/>
          <w:sz w:val="32"/>
          <w:szCs w:val="32"/>
        </w:rPr>
      </w:pPr>
      <w:r>
        <w:rPr>
          <w:rFonts w:hint="eastAsia" w:ascii="仿宋" w:hAnsi="仿宋" w:eastAsia="仿宋" w:cs="仿宋"/>
          <w:position w:val="10"/>
          <w:sz w:val="32"/>
          <w:szCs w:val="32"/>
        </w:rPr>
        <w:t>上级一般公共预算安排的转移支付资金7万元，占0.10%，比上年预算增加7.00万元，增长100.00%，主要原因是2022年未安排一般公共预算转移支付资金。</w:t>
      </w:r>
    </w:p>
    <w:p>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rFonts w:hint="eastAsia" w:ascii="仿宋" w:hAnsi="仿宋" w:eastAsia="仿宋" w:cs="仿宋"/>
          <w:position w:val="10"/>
          <w:sz w:val="32"/>
          <w:szCs w:val="32"/>
        </w:rPr>
      </w:pPr>
      <w:r>
        <w:rPr>
          <w:rFonts w:hint="eastAsia" w:ascii="仿宋" w:hAnsi="仿宋" w:eastAsia="仿宋" w:cs="仿宋"/>
          <w:position w:val="10"/>
          <w:sz w:val="32"/>
          <w:szCs w:val="32"/>
        </w:rPr>
        <w:t>政府性基金预算未安排。</w:t>
      </w:r>
    </w:p>
    <w:p>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rFonts w:hint="eastAsia" w:ascii="仿宋" w:hAnsi="仿宋" w:eastAsia="仿宋" w:cs="仿宋"/>
          <w:position w:val="10"/>
          <w:sz w:val="32"/>
          <w:szCs w:val="32"/>
        </w:rPr>
      </w:pPr>
      <w:r>
        <w:rPr>
          <w:rFonts w:hint="eastAsia" w:ascii="仿宋" w:hAnsi="仿宋" w:eastAsia="仿宋" w:cs="仿宋"/>
          <w:position w:val="10"/>
          <w:sz w:val="32"/>
          <w:szCs w:val="32"/>
        </w:rPr>
        <w:t>上级政府性基金安排的转移支付资金未安排。</w:t>
      </w:r>
    </w:p>
    <w:p>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rFonts w:hint="eastAsia" w:ascii="仿宋" w:hAnsi="仿宋" w:eastAsia="仿宋" w:cs="仿宋"/>
          <w:position w:val="10"/>
          <w:sz w:val="32"/>
          <w:szCs w:val="32"/>
        </w:rPr>
      </w:pPr>
      <w:r>
        <w:rPr>
          <w:rFonts w:hint="eastAsia" w:ascii="仿宋" w:hAnsi="仿宋" w:eastAsia="仿宋" w:cs="仿宋"/>
          <w:position w:val="10"/>
          <w:sz w:val="32"/>
          <w:szCs w:val="32"/>
        </w:rPr>
        <w:t>国有资本经营预算未安排。</w:t>
      </w:r>
    </w:p>
    <w:p>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rFonts w:hint="eastAsia" w:ascii="仿宋" w:hAnsi="仿宋" w:eastAsia="仿宋" w:cs="仿宋"/>
          <w:position w:val="10"/>
          <w:sz w:val="32"/>
          <w:szCs w:val="32"/>
        </w:rPr>
      </w:pPr>
      <w:r>
        <w:rPr>
          <w:rFonts w:hint="eastAsia" w:ascii="仿宋" w:hAnsi="仿宋" w:eastAsia="仿宋" w:cs="仿宋"/>
          <w:position w:val="10"/>
          <w:sz w:val="32"/>
          <w:szCs w:val="32"/>
        </w:rPr>
        <w:t>上级国有资本经营预算安排的转移支付资金未安排。</w:t>
      </w:r>
    </w:p>
    <w:p>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rFonts w:hint="eastAsia" w:ascii="仿宋" w:hAnsi="仿宋" w:eastAsia="仿宋" w:cs="仿宋"/>
          <w:position w:val="10"/>
          <w:sz w:val="32"/>
          <w:szCs w:val="32"/>
        </w:rPr>
      </w:pPr>
      <w:r>
        <w:rPr>
          <w:rFonts w:hint="eastAsia" w:ascii="仿宋" w:hAnsi="仿宋" w:eastAsia="仿宋" w:cs="仿宋"/>
          <w:position w:val="10"/>
          <w:sz w:val="32"/>
          <w:szCs w:val="32"/>
        </w:rPr>
        <w:t>财政拨款结转264.96万元，占3.82%，比上年预算增加264.96万元，增长100.00%，主要原因是2022年新系统上线，未做结转结余。</w:t>
      </w:r>
    </w:p>
    <w:p>
      <w:pPr>
        <w:keepNext w:val="0"/>
        <w:keepLines w:val="0"/>
        <w:pageBreakBefore w:val="0"/>
        <w:widowControl w:val="0"/>
        <w:kinsoku/>
        <w:wordWrap/>
        <w:overflowPunct/>
        <w:topLinePunct w:val="0"/>
        <w:autoSpaceDE/>
        <w:autoSpaceDN/>
        <w:bidi w:val="0"/>
        <w:adjustRightInd/>
        <w:snapToGrid/>
        <w:spacing w:before="150" w:line="560" w:lineRule="exact"/>
        <w:ind w:left="200" w:right="200" w:firstLine="500"/>
        <w:jc w:val="both"/>
        <w:textAlignment w:val="auto"/>
        <w:outlineLvl w:val="9"/>
        <w:rPr>
          <w:rFonts w:hint="eastAsia" w:ascii="黑体" w:hAnsi="黑体" w:eastAsia="黑体" w:cs="黑体"/>
          <w:b w:val="0"/>
          <w:bCs w:val="0"/>
          <w:position w:val="20"/>
          <w:sz w:val="32"/>
          <w:szCs w:val="32"/>
        </w:rPr>
      </w:pPr>
      <w:r>
        <w:rPr>
          <w:rFonts w:hint="eastAsia" w:ascii="黑体" w:hAnsi="黑体" w:eastAsia="黑体" w:cs="黑体"/>
          <w:b w:val="0"/>
          <w:bCs w:val="0"/>
          <w:position w:val="20"/>
          <w:sz w:val="32"/>
          <w:szCs w:val="32"/>
        </w:rPr>
        <w:t>三、关于皮山县科克铁热克乡人民政府2023年支出预算情况说明</w:t>
      </w:r>
    </w:p>
    <w:p>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rFonts w:hint="eastAsia" w:ascii="仿宋" w:hAnsi="仿宋" w:eastAsia="仿宋" w:cs="仿宋"/>
          <w:position w:val="10"/>
          <w:sz w:val="32"/>
          <w:szCs w:val="32"/>
        </w:rPr>
      </w:pPr>
      <w:r>
        <w:rPr>
          <w:rFonts w:hint="eastAsia" w:ascii="仿宋" w:hAnsi="仿宋" w:eastAsia="仿宋" w:cs="仿宋"/>
          <w:position w:val="10"/>
          <w:sz w:val="32"/>
          <w:szCs w:val="32"/>
        </w:rPr>
        <w:t>皮山县科克铁热克乡人民政府2023年支出预算6941.18万元，其中：</w:t>
      </w:r>
    </w:p>
    <w:p>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rFonts w:hint="eastAsia" w:ascii="仿宋" w:hAnsi="仿宋" w:eastAsia="仿宋" w:cs="仿宋"/>
          <w:position w:val="10"/>
          <w:sz w:val="32"/>
          <w:szCs w:val="32"/>
        </w:rPr>
      </w:pPr>
      <w:r>
        <w:rPr>
          <w:rFonts w:hint="eastAsia" w:ascii="仿宋" w:hAnsi="仿宋" w:eastAsia="仿宋" w:cs="仿宋"/>
          <w:position w:val="10"/>
          <w:sz w:val="32"/>
          <w:szCs w:val="32"/>
        </w:rPr>
        <w:t>基本支出6669.22万元，占96.08%，比上年预算增加3270.03万元，增长96.20%，主要原因是预算项目增加、人员薪资增资。</w:t>
      </w:r>
    </w:p>
    <w:p>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rFonts w:hint="eastAsia" w:ascii="仿宋" w:hAnsi="仿宋" w:eastAsia="仿宋" w:cs="仿宋"/>
          <w:position w:val="10"/>
          <w:sz w:val="32"/>
          <w:szCs w:val="32"/>
        </w:rPr>
      </w:pPr>
      <w:r>
        <w:rPr>
          <w:rFonts w:hint="eastAsia" w:ascii="仿宋" w:hAnsi="仿宋" w:eastAsia="仿宋" w:cs="仿宋"/>
          <w:position w:val="10"/>
          <w:sz w:val="32"/>
          <w:szCs w:val="32"/>
        </w:rPr>
        <w:t>项目支出271.96万元，占3.92%，比上年预算减少1853.54万元，下降87.2%，主要原因是2023年将村级骨干力量工资纳入到了基本支出中。</w:t>
      </w:r>
    </w:p>
    <w:p>
      <w:pPr>
        <w:keepNext w:val="0"/>
        <w:keepLines w:val="0"/>
        <w:pageBreakBefore w:val="0"/>
        <w:widowControl w:val="0"/>
        <w:kinsoku/>
        <w:wordWrap/>
        <w:overflowPunct/>
        <w:topLinePunct w:val="0"/>
        <w:autoSpaceDE/>
        <w:autoSpaceDN/>
        <w:bidi w:val="0"/>
        <w:adjustRightInd/>
        <w:snapToGrid/>
        <w:spacing w:before="150" w:line="560" w:lineRule="exact"/>
        <w:ind w:left="200" w:right="200" w:firstLine="500"/>
        <w:jc w:val="both"/>
        <w:textAlignment w:val="auto"/>
        <w:outlineLvl w:val="9"/>
        <w:rPr>
          <w:rFonts w:hint="eastAsia" w:ascii="黑体" w:hAnsi="黑体" w:eastAsia="黑体" w:cs="黑体"/>
          <w:b w:val="0"/>
          <w:bCs w:val="0"/>
          <w:position w:val="20"/>
          <w:sz w:val="32"/>
          <w:szCs w:val="32"/>
        </w:rPr>
      </w:pPr>
      <w:r>
        <w:rPr>
          <w:rFonts w:hint="eastAsia" w:ascii="黑体" w:hAnsi="黑体" w:eastAsia="黑体" w:cs="黑体"/>
          <w:b w:val="0"/>
          <w:bCs w:val="0"/>
          <w:position w:val="20"/>
          <w:sz w:val="32"/>
          <w:szCs w:val="32"/>
        </w:rPr>
        <w:t>四、关于皮山县科克铁热克乡人民政府2023年财政拨款收支预算情况的总体说明</w:t>
      </w:r>
    </w:p>
    <w:p>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rFonts w:hint="eastAsia" w:ascii="仿宋" w:hAnsi="仿宋" w:eastAsia="仿宋" w:cs="仿宋"/>
          <w:position w:val="10"/>
          <w:sz w:val="32"/>
          <w:szCs w:val="32"/>
        </w:rPr>
      </w:pPr>
      <w:r>
        <w:rPr>
          <w:rFonts w:hint="eastAsia" w:ascii="仿宋" w:hAnsi="仿宋" w:eastAsia="仿宋" w:cs="仿宋"/>
          <w:position w:val="10"/>
          <w:sz w:val="32"/>
          <w:szCs w:val="32"/>
        </w:rPr>
        <w:t>2023年财政拨款收支总预算6676.22万元。</w:t>
      </w:r>
    </w:p>
    <w:p>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rFonts w:hint="eastAsia" w:ascii="仿宋" w:hAnsi="仿宋" w:eastAsia="仿宋" w:cs="仿宋"/>
          <w:position w:val="10"/>
          <w:sz w:val="32"/>
          <w:szCs w:val="32"/>
        </w:rPr>
      </w:pPr>
      <w:r>
        <w:rPr>
          <w:rFonts w:hint="eastAsia" w:ascii="仿宋" w:hAnsi="仿宋" w:eastAsia="仿宋" w:cs="仿宋"/>
          <w:position w:val="10"/>
          <w:sz w:val="32"/>
          <w:szCs w:val="32"/>
        </w:rPr>
        <w:t>收入全部为一般公共预算拨款，无政府性基金预算拨款和国有资本经营预算。</w:t>
      </w:r>
    </w:p>
    <w:p>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rFonts w:hint="eastAsia" w:ascii="仿宋" w:hAnsi="仿宋" w:eastAsia="仿宋" w:cs="仿宋"/>
          <w:position w:val="10"/>
          <w:sz w:val="32"/>
          <w:szCs w:val="32"/>
        </w:rPr>
      </w:pPr>
      <w:r>
        <w:rPr>
          <w:rFonts w:hint="eastAsia" w:ascii="仿宋" w:hAnsi="仿宋" w:eastAsia="仿宋" w:cs="仿宋"/>
          <w:position w:val="10"/>
          <w:sz w:val="32"/>
          <w:szCs w:val="32"/>
        </w:rPr>
        <w:t>收入预算包括：一般公共预算拨款6676.22万元。</w:t>
      </w:r>
    </w:p>
    <w:p>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rFonts w:hint="eastAsia" w:ascii="仿宋" w:hAnsi="仿宋" w:eastAsia="仿宋" w:cs="仿宋"/>
          <w:position w:val="10"/>
          <w:sz w:val="32"/>
          <w:szCs w:val="32"/>
        </w:rPr>
      </w:pPr>
      <w:r>
        <w:rPr>
          <w:rFonts w:hint="eastAsia" w:ascii="仿宋" w:hAnsi="仿宋" w:eastAsia="仿宋" w:cs="仿宋"/>
          <w:position w:val="10"/>
          <w:sz w:val="32"/>
          <w:szCs w:val="32"/>
        </w:rPr>
        <w:t>一般公共预算支出包括：一般公共服务支出6241.4万元，主要用于人员工资、社保、住房公积金、奖金、职业年金、津补贴、办公费、取暖费、公务车辆运行维护费等。</w:t>
      </w:r>
    </w:p>
    <w:p>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rFonts w:hint="eastAsia" w:ascii="仿宋" w:hAnsi="仿宋" w:eastAsia="仿宋" w:cs="仿宋"/>
          <w:position w:val="10"/>
          <w:sz w:val="32"/>
          <w:szCs w:val="32"/>
        </w:rPr>
      </w:pPr>
      <w:r>
        <w:rPr>
          <w:rFonts w:hint="eastAsia" w:ascii="仿宋" w:hAnsi="仿宋" w:eastAsia="仿宋" w:cs="仿宋"/>
          <w:position w:val="10"/>
          <w:sz w:val="32"/>
          <w:szCs w:val="32"/>
        </w:rPr>
        <w:t>社会保障和就业支出434.82万元，主要用于退休人员的津补贴、取暖费、五项保险等。</w:t>
      </w:r>
    </w:p>
    <w:p>
      <w:pPr>
        <w:keepNext w:val="0"/>
        <w:keepLines w:val="0"/>
        <w:pageBreakBefore w:val="0"/>
        <w:widowControl w:val="0"/>
        <w:kinsoku/>
        <w:wordWrap/>
        <w:overflowPunct/>
        <w:topLinePunct w:val="0"/>
        <w:autoSpaceDE/>
        <w:autoSpaceDN/>
        <w:bidi w:val="0"/>
        <w:adjustRightInd/>
        <w:snapToGrid/>
        <w:spacing w:before="150" w:line="560" w:lineRule="exact"/>
        <w:ind w:left="200" w:right="200" w:firstLine="500"/>
        <w:jc w:val="both"/>
        <w:textAlignment w:val="auto"/>
        <w:outlineLvl w:val="9"/>
        <w:rPr>
          <w:rFonts w:hint="eastAsia" w:ascii="黑体" w:hAnsi="黑体" w:eastAsia="黑体" w:cs="黑体"/>
          <w:b w:val="0"/>
          <w:bCs w:val="0"/>
          <w:position w:val="20"/>
          <w:sz w:val="32"/>
          <w:szCs w:val="32"/>
        </w:rPr>
      </w:pPr>
      <w:r>
        <w:rPr>
          <w:rFonts w:hint="eastAsia" w:ascii="黑体" w:hAnsi="黑体" w:eastAsia="黑体" w:cs="黑体"/>
          <w:b w:val="0"/>
          <w:bCs w:val="0"/>
          <w:position w:val="20"/>
          <w:sz w:val="32"/>
          <w:szCs w:val="32"/>
        </w:rPr>
        <w:t>五、关于皮山县科克铁热克乡人民政府2023年一般公共预算当年拨款情况说明</w:t>
      </w:r>
    </w:p>
    <w:p>
      <w:pPr>
        <w:keepNext w:val="0"/>
        <w:keepLines w:val="0"/>
        <w:pageBreakBefore w:val="0"/>
        <w:widowControl w:val="0"/>
        <w:kinsoku/>
        <w:wordWrap/>
        <w:overflowPunct/>
        <w:topLinePunct w:val="0"/>
        <w:autoSpaceDE/>
        <w:autoSpaceDN/>
        <w:bidi w:val="0"/>
        <w:adjustRightInd/>
        <w:snapToGrid/>
        <w:spacing w:before="150" w:line="560" w:lineRule="exact"/>
        <w:ind w:left="200" w:right="200" w:firstLine="500"/>
        <w:jc w:val="both"/>
        <w:textAlignment w:val="auto"/>
        <w:outlineLvl w:val="9"/>
        <w:rPr>
          <w:rFonts w:hint="eastAsia" w:ascii="楷体_GB2312" w:hAnsi="楷体_GB2312" w:eastAsia="楷体_GB2312" w:cs="楷体_GB2312"/>
          <w:b/>
          <w:bCs/>
          <w:position w:val="20"/>
          <w:sz w:val="32"/>
          <w:szCs w:val="32"/>
        </w:rPr>
      </w:pPr>
      <w:r>
        <w:rPr>
          <w:rFonts w:hint="eastAsia" w:ascii="楷体_GB2312" w:hAnsi="楷体_GB2312" w:eastAsia="楷体_GB2312" w:cs="楷体_GB2312"/>
          <w:b/>
          <w:bCs/>
          <w:position w:val="20"/>
          <w:sz w:val="32"/>
          <w:szCs w:val="32"/>
        </w:rPr>
        <w:t>（一）一般公共预算当年拨款规模变化情况</w:t>
      </w:r>
    </w:p>
    <w:p>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rFonts w:hint="eastAsia" w:ascii="仿宋" w:hAnsi="仿宋" w:eastAsia="仿宋" w:cs="仿宋"/>
          <w:position w:val="10"/>
          <w:sz w:val="32"/>
          <w:szCs w:val="32"/>
        </w:rPr>
      </w:pPr>
      <w:r>
        <w:rPr>
          <w:rFonts w:hint="eastAsia" w:ascii="仿宋" w:hAnsi="仿宋" w:eastAsia="仿宋" w:cs="仿宋"/>
          <w:position w:val="10"/>
          <w:sz w:val="32"/>
          <w:szCs w:val="32"/>
        </w:rPr>
        <w:t>皮山县科克铁热克乡人民政府2023年一般公共预算拨款合计6676.22万元，其中：</w:t>
      </w:r>
    </w:p>
    <w:p>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rFonts w:hint="eastAsia" w:ascii="仿宋" w:hAnsi="仿宋" w:eastAsia="仿宋" w:cs="仿宋"/>
          <w:position w:val="10"/>
          <w:sz w:val="32"/>
          <w:szCs w:val="32"/>
        </w:rPr>
      </w:pPr>
      <w:r>
        <w:rPr>
          <w:rFonts w:hint="eastAsia" w:ascii="仿宋" w:hAnsi="仿宋" w:eastAsia="仿宋" w:cs="仿宋"/>
          <w:position w:val="10"/>
          <w:sz w:val="32"/>
          <w:szCs w:val="32"/>
        </w:rPr>
        <w:t>基本支出6669.22万元，比上年预算增加3270.03万元，增长96.20%。主要原因是：预算项目增加、人员薪资增资。</w:t>
      </w:r>
    </w:p>
    <w:p>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rFonts w:hint="eastAsia" w:ascii="仿宋" w:hAnsi="仿宋" w:eastAsia="仿宋" w:cs="仿宋"/>
          <w:position w:val="10"/>
          <w:sz w:val="32"/>
          <w:szCs w:val="32"/>
        </w:rPr>
      </w:pPr>
      <w:r>
        <w:rPr>
          <w:rFonts w:hint="eastAsia" w:ascii="仿宋" w:hAnsi="仿宋" w:eastAsia="仿宋" w:cs="仿宋"/>
          <w:position w:val="10"/>
          <w:sz w:val="32"/>
          <w:szCs w:val="32"/>
        </w:rPr>
        <w:t>项目支出7万元，比上年预算减少2118.5万元，下降99.67%。主要原因是：2023年项目预算合并至基本支出内。</w:t>
      </w:r>
    </w:p>
    <w:p>
      <w:pPr>
        <w:keepNext w:val="0"/>
        <w:keepLines w:val="0"/>
        <w:pageBreakBefore w:val="0"/>
        <w:widowControl w:val="0"/>
        <w:kinsoku/>
        <w:wordWrap/>
        <w:overflowPunct/>
        <w:topLinePunct w:val="0"/>
        <w:autoSpaceDE/>
        <w:autoSpaceDN/>
        <w:bidi w:val="0"/>
        <w:adjustRightInd/>
        <w:snapToGrid/>
        <w:spacing w:before="150" w:line="560" w:lineRule="exact"/>
        <w:ind w:left="200" w:right="200" w:firstLine="500"/>
        <w:jc w:val="both"/>
        <w:textAlignment w:val="auto"/>
        <w:outlineLvl w:val="9"/>
        <w:rPr>
          <w:rFonts w:hint="eastAsia" w:ascii="楷体_GB2312" w:hAnsi="楷体_GB2312" w:eastAsia="楷体_GB2312" w:cs="楷体_GB2312"/>
          <w:b/>
          <w:bCs/>
          <w:position w:val="20"/>
          <w:sz w:val="32"/>
          <w:szCs w:val="32"/>
        </w:rPr>
      </w:pPr>
      <w:r>
        <w:rPr>
          <w:rFonts w:hint="eastAsia" w:ascii="楷体_GB2312" w:hAnsi="楷体_GB2312" w:eastAsia="楷体_GB2312" w:cs="楷体_GB2312"/>
          <w:b/>
          <w:bCs/>
          <w:position w:val="20"/>
          <w:sz w:val="32"/>
          <w:szCs w:val="32"/>
        </w:rPr>
        <w:t>（二）一般公共预算当年拨款结构情况</w:t>
      </w:r>
    </w:p>
    <w:p>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rFonts w:hint="eastAsia" w:ascii="仿宋" w:hAnsi="仿宋" w:eastAsia="仿宋" w:cs="仿宋"/>
          <w:position w:val="10"/>
          <w:sz w:val="32"/>
          <w:szCs w:val="32"/>
        </w:rPr>
      </w:pPr>
      <w:r>
        <w:rPr>
          <w:rFonts w:hint="eastAsia" w:ascii="仿宋" w:hAnsi="仿宋" w:eastAsia="仿宋" w:cs="仿宋"/>
          <w:position w:val="10"/>
          <w:sz w:val="32"/>
          <w:szCs w:val="32"/>
        </w:rPr>
        <w:t>1.一般公共服务支出（类）6241.4万元，占93.49%。</w:t>
      </w:r>
    </w:p>
    <w:p>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rFonts w:hint="eastAsia" w:ascii="仿宋" w:hAnsi="仿宋" w:eastAsia="仿宋" w:cs="仿宋"/>
          <w:position w:val="10"/>
          <w:sz w:val="32"/>
          <w:szCs w:val="32"/>
        </w:rPr>
      </w:pPr>
      <w:r>
        <w:rPr>
          <w:rFonts w:hint="eastAsia" w:ascii="仿宋" w:hAnsi="仿宋" w:eastAsia="仿宋" w:cs="仿宋"/>
          <w:position w:val="10"/>
          <w:sz w:val="32"/>
          <w:szCs w:val="32"/>
        </w:rPr>
        <w:t>2.社会保障和就业支出（类）434.82万元，占6.51%。</w:t>
      </w:r>
    </w:p>
    <w:p>
      <w:pPr>
        <w:keepNext w:val="0"/>
        <w:keepLines w:val="0"/>
        <w:pageBreakBefore w:val="0"/>
        <w:widowControl w:val="0"/>
        <w:kinsoku/>
        <w:wordWrap/>
        <w:overflowPunct/>
        <w:topLinePunct w:val="0"/>
        <w:autoSpaceDE/>
        <w:autoSpaceDN/>
        <w:bidi w:val="0"/>
        <w:adjustRightInd/>
        <w:snapToGrid/>
        <w:spacing w:before="150" w:line="560" w:lineRule="exact"/>
        <w:ind w:left="200" w:right="200" w:firstLine="500"/>
        <w:jc w:val="both"/>
        <w:textAlignment w:val="auto"/>
        <w:outlineLvl w:val="9"/>
        <w:rPr>
          <w:rFonts w:hint="eastAsia" w:ascii="楷体_GB2312" w:hAnsi="楷体_GB2312" w:eastAsia="楷体_GB2312" w:cs="楷体_GB2312"/>
          <w:b/>
          <w:bCs/>
          <w:position w:val="20"/>
          <w:sz w:val="32"/>
          <w:szCs w:val="32"/>
        </w:rPr>
      </w:pPr>
      <w:r>
        <w:rPr>
          <w:rFonts w:hint="eastAsia" w:ascii="楷体_GB2312" w:hAnsi="楷体_GB2312" w:eastAsia="楷体_GB2312" w:cs="楷体_GB2312"/>
          <w:b/>
          <w:bCs/>
          <w:position w:val="20"/>
          <w:sz w:val="32"/>
          <w:szCs w:val="32"/>
        </w:rPr>
        <w:t>（三）一般公共预算当年拨款具体使用情况</w:t>
      </w:r>
    </w:p>
    <w:p>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rFonts w:hint="eastAsia" w:ascii="仿宋" w:hAnsi="仿宋" w:eastAsia="仿宋" w:cs="仿宋"/>
          <w:position w:val="10"/>
          <w:sz w:val="32"/>
          <w:szCs w:val="32"/>
        </w:rPr>
      </w:pPr>
      <w:r>
        <w:rPr>
          <w:rFonts w:hint="eastAsia" w:ascii="仿宋" w:hAnsi="仿宋" w:eastAsia="仿宋" w:cs="仿宋"/>
          <w:position w:val="10"/>
          <w:sz w:val="32"/>
          <w:szCs w:val="32"/>
        </w:rPr>
        <w:t>1.一般公共服务支出（类）政府办公厅（室）及相关机构事务（款）行政运行（项）:2023年预算数为6234.4万元，比上年预算数增加3320.19万元，增长113.93%，主要原因是：项目预算增加。</w:t>
      </w:r>
    </w:p>
    <w:p>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rFonts w:hint="eastAsia" w:ascii="仿宋" w:hAnsi="仿宋" w:eastAsia="仿宋" w:cs="仿宋"/>
          <w:position w:val="10"/>
          <w:sz w:val="32"/>
          <w:szCs w:val="32"/>
        </w:rPr>
      </w:pPr>
      <w:r>
        <w:rPr>
          <w:rFonts w:hint="eastAsia" w:ascii="仿宋" w:hAnsi="仿宋" w:eastAsia="仿宋" w:cs="仿宋"/>
          <w:position w:val="10"/>
          <w:sz w:val="32"/>
          <w:szCs w:val="32"/>
        </w:rPr>
        <w:t>2.一般公共服务支出（类）统战事务（款）宗教事务（项）:2023年预算数为7万元，比上年预算数增加7.00万元，增长100.00%，主要原因是：2022年未安排。</w:t>
      </w:r>
    </w:p>
    <w:p>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rFonts w:hint="eastAsia" w:ascii="仿宋" w:hAnsi="仿宋" w:eastAsia="仿宋" w:cs="仿宋"/>
          <w:position w:val="10"/>
          <w:sz w:val="32"/>
          <w:szCs w:val="32"/>
        </w:rPr>
      </w:pPr>
      <w:r>
        <w:rPr>
          <w:rFonts w:hint="eastAsia" w:ascii="仿宋" w:hAnsi="仿宋" w:eastAsia="仿宋" w:cs="仿宋"/>
          <w:position w:val="10"/>
          <w:sz w:val="32"/>
          <w:szCs w:val="32"/>
        </w:rPr>
        <w:t>3.社会保障和就业支出（类）行政事业单位养老支出（款）机关事业单位基本养老保险缴费支出（项）:2023年预算数为289.88万元，比上年预算数减少38.13万元，下降11.62%，主要原因是：2022年此项目中包含了离退休人员的社保。</w:t>
      </w:r>
    </w:p>
    <w:p>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rFonts w:hint="eastAsia" w:ascii="仿宋" w:hAnsi="仿宋" w:eastAsia="仿宋" w:cs="仿宋"/>
          <w:position w:val="10"/>
          <w:sz w:val="32"/>
          <w:szCs w:val="32"/>
        </w:rPr>
      </w:pPr>
      <w:r>
        <w:rPr>
          <w:rFonts w:hint="eastAsia" w:ascii="仿宋" w:hAnsi="仿宋" w:eastAsia="仿宋" w:cs="仿宋"/>
          <w:position w:val="10"/>
          <w:sz w:val="32"/>
          <w:szCs w:val="32"/>
        </w:rPr>
        <w:t>4.社会保障和就业支出（类）行政事业单位养老支出（款）机关事业单位职业年金缴费支出（项）:2023年预算数为144.94万元，比上年预算数减少19.07万元，下降11.63%，主要原因是：2022年此项目中包含了离退休人员的职业年金。</w:t>
      </w:r>
    </w:p>
    <w:p>
      <w:pPr>
        <w:keepNext w:val="0"/>
        <w:keepLines w:val="0"/>
        <w:pageBreakBefore w:val="0"/>
        <w:widowControl w:val="0"/>
        <w:kinsoku/>
        <w:wordWrap/>
        <w:overflowPunct/>
        <w:topLinePunct w:val="0"/>
        <w:autoSpaceDE/>
        <w:autoSpaceDN/>
        <w:bidi w:val="0"/>
        <w:adjustRightInd/>
        <w:snapToGrid/>
        <w:spacing w:before="150" w:line="560" w:lineRule="exact"/>
        <w:ind w:left="200" w:right="200" w:firstLine="500"/>
        <w:jc w:val="both"/>
        <w:textAlignment w:val="auto"/>
        <w:outlineLvl w:val="9"/>
        <w:rPr>
          <w:rFonts w:hint="eastAsia" w:ascii="黑体" w:hAnsi="黑体" w:eastAsia="黑体" w:cs="黑体"/>
          <w:b w:val="0"/>
          <w:bCs w:val="0"/>
          <w:position w:val="20"/>
          <w:sz w:val="32"/>
          <w:szCs w:val="32"/>
        </w:rPr>
      </w:pPr>
      <w:r>
        <w:rPr>
          <w:rFonts w:hint="eastAsia" w:ascii="黑体" w:hAnsi="黑体" w:eastAsia="黑体" w:cs="黑体"/>
          <w:b w:val="0"/>
          <w:bCs w:val="0"/>
          <w:position w:val="20"/>
          <w:sz w:val="32"/>
          <w:szCs w:val="32"/>
        </w:rPr>
        <w:t>六、关于皮山县科克铁热克乡人民政府2023年一般公共预算基本支出情况说明</w:t>
      </w:r>
    </w:p>
    <w:p>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rFonts w:hint="eastAsia" w:ascii="仿宋" w:hAnsi="仿宋" w:eastAsia="仿宋" w:cs="仿宋"/>
          <w:position w:val="10"/>
          <w:sz w:val="32"/>
          <w:szCs w:val="32"/>
        </w:rPr>
      </w:pPr>
      <w:r>
        <w:rPr>
          <w:rFonts w:hint="eastAsia" w:ascii="仿宋" w:hAnsi="仿宋" w:eastAsia="仿宋" w:cs="仿宋"/>
          <w:position w:val="10"/>
          <w:sz w:val="32"/>
          <w:szCs w:val="32"/>
        </w:rPr>
        <w:t>皮山县科克铁热克乡人民政府2023年一般公共预算基本支出6669.22万元，其中：</w:t>
      </w:r>
    </w:p>
    <w:p>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rFonts w:hint="eastAsia" w:ascii="仿宋" w:hAnsi="仿宋" w:eastAsia="仿宋" w:cs="仿宋"/>
          <w:position w:val="10"/>
          <w:sz w:val="32"/>
          <w:szCs w:val="32"/>
        </w:rPr>
      </w:pPr>
      <w:r>
        <w:rPr>
          <w:rFonts w:hint="eastAsia" w:ascii="仿宋" w:hAnsi="仿宋" w:eastAsia="仿宋" w:cs="仿宋"/>
          <w:position w:val="10"/>
          <w:sz w:val="32"/>
          <w:szCs w:val="32"/>
        </w:rPr>
        <w:t>人员经费6585.32万元，主要包括：基本工资、津贴补贴、奖金、绩效工资、机关事业单位基本养老保险缴费、职业年金缴费、城镇职工基本医疗保险缴费、公务员医疗补助缴费、其他社会保障缴费、住房公积金、其他工资福利支出、取暖费、退休费、生活补助、奖励金。</w:t>
      </w:r>
    </w:p>
    <w:p>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rFonts w:hint="eastAsia" w:ascii="仿宋" w:hAnsi="仿宋" w:eastAsia="仿宋" w:cs="仿宋"/>
          <w:position w:val="10"/>
          <w:sz w:val="32"/>
          <w:szCs w:val="32"/>
        </w:rPr>
      </w:pPr>
      <w:r>
        <w:rPr>
          <w:rFonts w:hint="eastAsia" w:ascii="仿宋" w:hAnsi="仿宋" w:eastAsia="仿宋" w:cs="仿宋"/>
          <w:position w:val="10"/>
          <w:sz w:val="32"/>
          <w:szCs w:val="32"/>
        </w:rPr>
        <w:t>公用经费83.9万元，主要包括：办公费、取暖费、公务用车运行维护费。</w:t>
      </w:r>
    </w:p>
    <w:p>
      <w:pPr>
        <w:keepNext w:val="0"/>
        <w:keepLines w:val="0"/>
        <w:pageBreakBefore w:val="0"/>
        <w:widowControl w:val="0"/>
        <w:kinsoku/>
        <w:wordWrap/>
        <w:overflowPunct/>
        <w:topLinePunct w:val="0"/>
        <w:autoSpaceDE/>
        <w:autoSpaceDN/>
        <w:bidi w:val="0"/>
        <w:adjustRightInd/>
        <w:snapToGrid/>
        <w:spacing w:before="150" w:line="240" w:lineRule="auto"/>
        <w:ind w:left="200" w:right="200" w:firstLine="500"/>
        <w:jc w:val="both"/>
        <w:textAlignment w:val="auto"/>
        <w:outlineLvl w:val="9"/>
        <w:rPr>
          <w:rFonts w:hint="eastAsia" w:ascii="黑体" w:hAnsi="黑体" w:eastAsia="黑体" w:cs="黑体"/>
          <w:b w:val="0"/>
          <w:bCs w:val="0"/>
          <w:position w:val="20"/>
          <w:sz w:val="32"/>
          <w:szCs w:val="32"/>
        </w:rPr>
      </w:pPr>
      <w:r>
        <w:rPr>
          <w:rFonts w:hint="eastAsia" w:ascii="黑体" w:hAnsi="黑体" w:eastAsia="黑体" w:cs="黑体"/>
          <w:b w:val="0"/>
          <w:bCs w:val="0"/>
          <w:position w:val="20"/>
          <w:sz w:val="32"/>
          <w:szCs w:val="32"/>
        </w:rPr>
        <w:t>七、关于皮山县科克铁热克乡人民政府2023年一般公共预算项目支出情况说明</w:t>
      </w:r>
    </w:p>
    <w:p>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rFonts w:hint="eastAsia" w:ascii="仿宋" w:hAnsi="仿宋" w:eastAsia="仿宋" w:cs="仿宋"/>
          <w:position w:val="10"/>
          <w:sz w:val="32"/>
          <w:szCs w:val="32"/>
        </w:rPr>
      </w:pPr>
      <w:r>
        <w:rPr>
          <w:rFonts w:hint="eastAsia" w:ascii="仿宋" w:hAnsi="仿宋" w:eastAsia="仿宋" w:cs="仿宋"/>
          <w:position w:val="10"/>
          <w:sz w:val="32"/>
          <w:szCs w:val="32"/>
        </w:rPr>
        <w:t>1.项目名称：2023年</w:t>
      </w:r>
      <w:r>
        <w:rPr>
          <w:rFonts w:hint="eastAsia" w:ascii="仿宋" w:hAnsi="仿宋" w:eastAsia="仿宋" w:cs="仿宋"/>
          <w:position w:val="10"/>
          <w:sz w:val="32"/>
          <w:szCs w:val="32"/>
          <w:lang w:eastAsia="zh-CN"/>
        </w:rPr>
        <w:t>驻村工作人员工作经费</w:t>
      </w:r>
      <w:r>
        <w:rPr>
          <w:rFonts w:hint="eastAsia" w:ascii="仿宋" w:hAnsi="仿宋" w:eastAsia="仿宋" w:cs="仿宋"/>
          <w:position w:val="10"/>
          <w:sz w:val="32"/>
          <w:szCs w:val="32"/>
        </w:rPr>
        <w:t>-和地财行</w:t>
      </w:r>
      <w:r>
        <w:rPr>
          <w:rFonts w:hint="eastAsia" w:ascii="仿宋" w:hAnsi="仿宋" w:eastAsia="仿宋" w:cs="仿宋"/>
          <w:position w:val="10"/>
          <w:sz w:val="32"/>
          <w:szCs w:val="32"/>
          <w:lang w:eastAsia="zh-CN"/>
        </w:rPr>
        <w:t>〔2022〕64号</w:t>
      </w:r>
      <w:r>
        <w:rPr>
          <w:rFonts w:hint="eastAsia" w:ascii="仿宋" w:hAnsi="仿宋" w:eastAsia="仿宋" w:cs="仿宋"/>
          <w:position w:val="10"/>
          <w:sz w:val="32"/>
          <w:szCs w:val="32"/>
        </w:rPr>
        <w:t>。</w:t>
      </w:r>
    </w:p>
    <w:p>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rFonts w:hint="eastAsia" w:ascii="仿宋" w:hAnsi="仿宋" w:eastAsia="仿宋" w:cs="仿宋"/>
          <w:position w:val="10"/>
          <w:sz w:val="32"/>
          <w:szCs w:val="32"/>
        </w:rPr>
      </w:pPr>
      <w:r>
        <w:rPr>
          <w:rFonts w:hint="eastAsia" w:ascii="仿宋" w:hAnsi="仿宋" w:eastAsia="仿宋" w:cs="仿宋"/>
          <w:position w:val="10"/>
          <w:sz w:val="32"/>
          <w:szCs w:val="32"/>
        </w:rPr>
        <w:t>设立的政策依据：用于我辖区29座活动场所基本运转支出。</w:t>
      </w:r>
    </w:p>
    <w:p>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rFonts w:hint="eastAsia" w:ascii="仿宋" w:hAnsi="仿宋" w:eastAsia="仿宋" w:cs="仿宋"/>
          <w:position w:val="10"/>
          <w:sz w:val="32"/>
          <w:szCs w:val="32"/>
        </w:rPr>
      </w:pPr>
      <w:r>
        <w:rPr>
          <w:rFonts w:hint="eastAsia" w:ascii="仿宋" w:hAnsi="仿宋" w:eastAsia="仿宋" w:cs="仿宋"/>
          <w:position w:val="10"/>
          <w:sz w:val="32"/>
          <w:szCs w:val="32"/>
        </w:rPr>
        <w:t>预算安排规模：7万元</w:t>
      </w:r>
    </w:p>
    <w:p>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rFonts w:hint="eastAsia" w:ascii="仿宋" w:hAnsi="仿宋" w:eastAsia="仿宋" w:cs="仿宋"/>
          <w:position w:val="10"/>
          <w:sz w:val="32"/>
          <w:szCs w:val="32"/>
        </w:rPr>
      </w:pPr>
      <w:r>
        <w:rPr>
          <w:rFonts w:hint="eastAsia" w:ascii="仿宋" w:hAnsi="仿宋" w:eastAsia="仿宋" w:cs="仿宋"/>
          <w:position w:val="10"/>
          <w:sz w:val="32"/>
          <w:szCs w:val="32"/>
        </w:rPr>
        <w:t>项目承担单位：皮山县科克铁热克乡人民政府。</w:t>
      </w:r>
    </w:p>
    <w:p>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rFonts w:hint="eastAsia" w:ascii="仿宋" w:hAnsi="仿宋" w:eastAsia="仿宋" w:cs="仿宋"/>
          <w:position w:val="10"/>
          <w:sz w:val="32"/>
          <w:szCs w:val="32"/>
        </w:rPr>
      </w:pPr>
      <w:r>
        <w:rPr>
          <w:rFonts w:hint="eastAsia" w:ascii="仿宋" w:hAnsi="仿宋" w:eastAsia="仿宋" w:cs="仿宋"/>
          <w:position w:val="10"/>
          <w:sz w:val="32"/>
          <w:szCs w:val="32"/>
        </w:rPr>
        <w:t>资金分配情况：办公费3.5万元；维护维修费3.5万元。</w:t>
      </w:r>
    </w:p>
    <w:p>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rFonts w:hint="eastAsia" w:ascii="仿宋" w:hAnsi="仿宋" w:eastAsia="仿宋" w:cs="仿宋"/>
          <w:position w:val="10"/>
          <w:sz w:val="32"/>
          <w:szCs w:val="32"/>
        </w:rPr>
      </w:pPr>
      <w:r>
        <w:rPr>
          <w:rFonts w:hint="eastAsia" w:ascii="仿宋" w:hAnsi="仿宋" w:eastAsia="仿宋" w:cs="仿宋"/>
          <w:position w:val="10"/>
          <w:sz w:val="32"/>
          <w:szCs w:val="32"/>
        </w:rPr>
        <w:t>资金执行时间：2023年12月31日之前。</w:t>
      </w:r>
    </w:p>
    <w:p>
      <w:pPr>
        <w:keepNext w:val="0"/>
        <w:keepLines w:val="0"/>
        <w:pageBreakBefore w:val="0"/>
        <w:widowControl w:val="0"/>
        <w:kinsoku/>
        <w:wordWrap/>
        <w:overflowPunct/>
        <w:topLinePunct w:val="0"/>
        <w:autoSpaceDE/>
        <w:autoSpaceDN/>
        <w:bidi w:val="0"/>
        <w:adjustRightInd/>
        <w:snapToGrid/>
        <w:spacing w:before="150" w:line="240" w:lineRule="auto"/>
        <w:ind w:left="200" w:right="200" w:firstLine="500"/>
        <w:jc w:val="both"/>
        <w:textAlignment w:val="auto"/>
        <w:outlineLvl w:val="9"/>
        <w:rPr>
          <w:rFonts w:hint="eastAsia" w:ascii="黑体" w:hAnsi="黑体" w:eastAsia="黑体" w:cs="黑体"/>
          <w:b w:val="0"/>
          <w:bCs w:val="0"/>
          <w:position w:val="20"/>
          <w:sz w:val="32"/>
          <w:szCs w:val="32"/>
        </w:rPr>
      </w:pPr>
      <w:r>
        <w:rPr>
          <w:rFonts w:hint="eastAsia" w:ascii="黑体" w:hAnsi="黑体" w:eastAsia="黑体" w:cs="黑体"/>
          <w:b w:val="0"/>
          <w:bCs w:val="0"/>
          <w:position w:val="20"/>
          <w:sz w:val="32"/>
          <w:szCs w:val="32"/>
        </w:rPr>
        <w:t>八、关于皮山县科克铁热克乡人民政府2023年政府性基金预算拨款情况说明</w:t>
      </w:r>
    </w:p>
    <w:p>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rFonts w:hint="eastAsia" w:ascii="仿宋" w:hAnsi="仿宋" w:eastAsia="仿宋" w:cs="仿宋"/>
          <w:position w:val="10"/>
          <w:sz w:val="32"/>
          <w:szCs w:val="32"/>
        </w:rPr>
      </w:pPr>
      <w:r>
        <w:rPr>
          <w:rFonts w:hint="eastAsia" w:ascii="仿宋" w:hAnsi="仿宋" w:eastAsia="仿宋" w:cs="仿宋"/>
          <w:position w:val="10"/>
          <w:sz w:val="32"/>
          <w:szCs w:val="32"/>
        </w:rPr>
        <w:t>皮山县科克铁热克乡人民政府2023年没有使用政府性基金预算拨款安排的支出，政府性基金预算支出情况表为空表。</w:t>
      </w:r>
    </w:p>
    <w:p>
      <w:pPr>
        <w:keepNext w:val="0"/>
        <w:keepLines w:val="0"/>
        <w:pageBreakBefore w:val="0"/>
        <w:widowControl w:val="0"/>
        <w:kinsoku/>
        <w:wordWrap/>
        <w:overflowPunct/>
        <w:topLinePunct w:val="0"/>
        <w:autoSpaceDE/>
        <w:autoSpaceDN/>
        <w:bidi w:val="0"/>
        <w:adjustRightInd/>
        <w:snapToGrid/>
        <w:spacing w:before="150" w:line="240" w:lineRule="auto"/>
        <w:ind w:left="200" w:right="200" w:firstLine="500"/>
        <w:jc w:val="both"/>
        <w:textAlignment w:val="auto"/>
        <w:outlineLvl w:val="9"/>
        <w:rPr>
          <w:rFonts w:hint="eastAsia" w:ascii="黑体" w:hAnsi="黑体" w:eastAsia="黑体" w:cs="黑体"/>
          <w:b w:val="0"/>
          <w:bCs w:val="0"/>
          <w:position w:val="20"/>
          <w:sz w:val="32"/>
          <w:szCs w:val="32"/>
        </w:rPr>
      </w:pPr>
      <w:r>
        <w:rPr>
          <w:rFonts w:hint="eastAsia" w:ascii="黑体" w:hAnsi="黑体" w:eastAsia="黑体" w:cs="黑体"/>
          <w:b w:val="0"/>
          <w:bCs w:val="0"/>
          <w:position w:val="20"/>
          <w:sz w:val="32"/>
          <w:szCs w:val="32"/>
        </w:rPr>
        <w:t>九、关于皮山县科克铁热克乡人民政府2023年国有资本经营预算拨款情况说明</w:t>
      </w:r>
    </w:p>
    <w:p>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rFonts w:hint="eastAsia" w:ascii="仿宋" w:hAnsi="仿宋" w:eastAsia="仿宋" w:cs="仿宋"/>
          <w:position w:val="10"/>
          <w:sz w:val="32"/>
          <w:szCs w:val="32"/>
        </w:rPr>
      </w:pPr>
      <w:r>
        <w:rPr>
          <w:rFonts w:hint="eastAsia" w:ascii="仿宋" w:hAnsi="仿宋" w:eastAsia="仿宋" w:cs="仿宋"/>
          <w:position w:val="10"/>
          <w:sz w:val="32"/>
          <w:szCs w:val="32"/>
        </w:rPr>
        <w:t>皮山县科克铁热克乡人民政府2023年没有使用国有资本经营预算拨款安排的支出，国有资本经营预算支出情况表为空表。</w:t>
      </w:r>
    </w:p>
    <w:p>
      <w:pPr>
        <w:keepNext w:val="0"/>
        <w:keepLines w:val="0"/>
        <w:pageBreakBefore w:val="0"/>
        <w:widowControl w:val="0"/>
        <w:kinsoku/>
        <w:wordWrap/>
        <w:overflowPunct/>
        <w:topLinePunct w:val="0"/>
        <w:autoSpaceDE/>
        <w:autoSpaceDN/>
        <w:bidi w:val="0"/>
        <w:adjustRightInd/>
        <w:snapToGrid/>
        <w:spacing w:before="150" w:line="240" w:lineRule="auto"/>
        <w:ind w:left="200" w:right="200" w:firstLine="500"/>
        <w:jc w:val="both"/>
        <w:textAlignment w:val="auto"/>
        <w:outlineLvl w:val="9"/>
        <w:rPr>
          <w:rFonts w:hint="eastAsia" w:ascii="黑体" w:hAnsi="黑体" w:eastAsia="黑体" w:cs="黑体"/>
          <w:b w:val="0"/>
          <w:bCs w:val="0"/>
          <w:position w:val="20"/>
          <w:sz w:val="32"/>
          <w:szCs w:val="32"/>
        </w:rPr>
      </w:pPr>
      <w:r>
        <w:rPr>
          <w:rFonts w:hint="eastAsia" w:ascii="黑体" w:hAnsi="黑体" w:eastAsia="黑体" w:cs="黑体"/>
          <w:b w:val="0"/>
          <w:bCs w:val="0"/>
          <w:position w:val="20"/>
          <w:sz w:val="32"/>
          <w:szCs w:val="32"/>
        </w:rPr>
        <w:t>十、关于皮山县科克铁热克乡人民政府2023年财政拨款“三公”经费预算情况说明</w:t>
      </w:r>
    </w:p>
    <w:p>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rFonts w:hint="eastAsia" w:ascii="仿宋" w:hAnsi="仿宋" w:eastAsia="仿宋" w:cs="仿宋"/>
          <w:position w:val="10"/>
          <w:sz w:val="32"/>
          <w:szCs w:val="32"/>
        </w:rPr>
      </w:pPr>
      <w:r>
        <w:rPr>
          <w:rFonts w:hint="eastAsia" w:ascii="仿宋" w:hAnsi="仿宋" w:eastAsia="仿宋" w:cs="仿宋"/>
          <w:position w:val="10"/>
          <w:sz w:val="32"/>
          <w:szCs w:val="32"/>
        </w:rPr>
        <w:t>皮山县科克铁热克乡人民政府2023年财政拨款“三公”经费数为4万元，其中：因公出国（境）费0万元，公务用车购置费0万元，公务用车运行费4万元，公务接待费0万元。</w:t>
      </w:r>
    </w:p>
    <w:p>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rFonts w:hint="eastAsia" w:ascii="仿宋" w:hAnsi="仿宋" w:eastAsia="仿宋" w:cs="仿宋"/>
          <w:position w:val="10"/>
          <w:sz w:val="32"/>
          <w:szCs w:val="32"/>
        </w:rPr>
      </w:pPr>
      <w:r>
        <w:rPr>
          <w:rFonts w:hint="eastAsia" w:ascii="仿宋" w:hAnsi="仿宋" w:eastAsia="仿宋" w:cs="仿宋"/>
          <w:position w:val="10"/>
          <w:sz w:val="32"/>
          <w:szCs w:val="32"/>
        </w:rPr>
        <w:t>2023年财政拨款“三公”经费比上年预算增加4.00万元，增长100.00%，其中：</w:t>
      </w:r>
    </w:p>
    <w:p>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rFonts w:hint="eastAsia" w:ascii="仿宋" w:hAnsi="仿宋" w:eastAsia="仿宋" w:cs="仿宋"/>
          <w:position w:val="10"/>
          <w:sz w:val="32"/>
          <w:szCs w:val="32"/>
        </w:rPr>
      </w:pPr>
      <w:r>
        <w:rPr>
          <w:rFonts w:hint="eastAsia" w:ascii="仿宋" w:hAnsi="仿宋" w:eastAsia="仿宋" w:cs="仿宋"/>
          <w:position w:val="10"/>
          <w:sz w:val="32"/>
          <w:szCs w:val="32"/>
        </w:rPr>
        <w:t>因公出国（境）费增加0万元，增长0%，主要原因是无。公务用车购置费增加0万元，增长0%，主要原因是无。公务用车运行费增加0万元，增长0%，主要原因是公务车辆无变化，相关费用均控制在预算内。公务接待费增加0万元，增长0%，主要原因是无。</w:t>
      </w:r>
    </w:p>
    <w:p>
      <w:pPr>
        <w:keepNext w:val="0"/>
        <w:keepLines w:val="0"/>
        <w:pageBreakBefore w:val="0"/>
        <w:widowControl w:val="0"/>
        <w:kinsoku/>
        <w:wordWrap/>
        <w:overflowPunct/>
        <w:topLinePunct w:val="0"/>
        <w:autoSpaceDE/>
        <w:autoSpaceDN/>
        <w:bidi w:val="0"/>
        <w:adjustRightInd/>
        <w:snapToGrid/>
        <w:spacing w:before="150" w:line="240" w:lineRule="auto"/>
        <w:ind w:left="200" w:right="200" w:firstLine="500"/>
        <w:jc w:val="both"/>
        <w:textAlignment w:val="auto"/>
        <w:outlineLvl w:val="9"/>
        <w:rPr>
          <w:rFonts w:hint="eastAsia" w:ascii="黑体" w:hAnsi="黑体" w:eastAsia="黑体" w:cs="黑体"/>
          <w:b w:val="0"/>
          <w:bCs w:val="0"/>
          <w:position w:val="20"/>
          <w:sz w:val="32"/>
          <w:szCs w:val="32"/>
        </w:rPr>
      </w:pPr>
      <w:r>
        <w:rPr>
          <w:rFonts w:hint="eastAsia" w:ascii="黑体" w:hAnsi="黑体" w:eastAsia="黑体" w:cs="黑体"/>
          <w:b w:val="0"/>
          <w:bCs w:val="0"/>
          <w:position w:val="20"/>
          <w:sz w:val="32"/>
          <w:szCs w:val="32"/>
        </w:rPr>
        <w:t>十一、其他重要事项的情况说明</w:t>
      </w:r>
    </w:p>
    <w:p>
      <w:pPr>
        <w:keepNext w:val="0"/>
        <w:keepLines w:val="0"/>
        <w:pageBreakBefore w:val="0"/>
        <w:widowControl w:val="0"/>
        <w:kinsoku/>
        <w:wordWrap/>
        <w:overflowPunct/>
        <w:topLinePunct w:val="0"/>
        <w:autoSpaceDE/>
        <w:autoSpaceDN/>
        <w:bidi w:val="0"/>
        <w:adjustRightInd/>
        <w:snapToGrid/>
        <w:spacing w:before="150" w:line="560" w:lineRule="exact"/>
        <w:ind w:left="200" w:right="200" w:firstLine="500"/>
        <w:jc w:val="both"/>
        <w:textAlignment w:val="auto"/>
        <w:outlineLvl w:val="9"/>
        <w:rPr>
          <w:rFonts w:hint="eastAsia" w:ascii="楷体_GB2312" w:hAnsi="楷体_GB2312" w:eastAsia="楷体_GB2312" w:cs="楷体_GB2312"/>
          <w:b/>
          <w:bCs/>
          <w:position w:val="20"/>
          <w:sz w:val="32"/>
          <w:szCs w:val="32"/>
        </w:rPr>
      </w:pPr>
      <w:r>
        <w:rPr>
          <w:rFonts w:hint="eastAsia" w:ascii="楷体_GB2312" w:hAnsi="楷体_GB2312" w:eastAsia="楷体_GB2312" w:cs="楷体_GB2312"/>
          <w:b/>
          <w:bCs/>
          <w:position w:val="20"/>
          <w:sz w:val="32"/>
          <w:szCs w:val="32"/>
        </w:rPr>
        <w:t>（一）机关运行经费情况</w:t>
      </w:r>
    </w:p>
    <w:p>
      <w:pPr>
        <w:keepNext w:val="0"/>
        <w:keepLines w:val="0"/>
        <w:pageBreakBefore w:val="0"/>
        <w:widowControl w:val="0"/>
        <w:kinsoku/>
        <w:wordWrap/>
        <w:overflowPunct/>
        <w:topLinePunct w:val="0"/>
        <w:autoSpaceDE/>
        <w:autoSpaceDN/>
        <w:bidi w:val="0"/>
        <w:adjustRightInd/>
        <w:snapToGrid/>
        <w:spacing w:before="150" w:line="560" w:lineRule="exact"/>
        <w:ind w:left="200" w:right="200" w:firstLine="500"/>
        <w:jc w:val="both"/>
        <w:textAlignment w:val="auto"/>
        <w:outlineLvl w:val="9"/>
        <w:rPr>
          <w:rFonts w:hint="eastAsia" w:ascii="楷体_GB2312" w:hAnsi="楷体_GB2312" w:eastAsia="楷体_GB2312" w:cs="楷体_GB2312"/>
          <w:b/>
          <w:bCs/>
          <w:position w:val="20"/>
          <w:sz w:val="32"/>
          <w:szCs w:val="32"/>
        </w:rPr>
      </w:pPr>
      <w:r>
        <w:rPr>
          <w:rFonts w:hint="eastAsia" w:ascii="仿宋" w:hAnsi="仿宋" w:eastAsia="仿宋" w:cs="仿宋"/>
          <w:position w:val="10"/>
          <w:sz w:val="32"/>
          <w:szCs w:val="32"/>
        </w:rPr>
        <w:t>2023年，皮山县科克铁热克乡人民政府本级及下属0家行政单位和0家事业单位的机关运行经费财政拨款预算83.9万元，比上年预算增加1.90万元，增长2.32%。主要原因是经费增加。</w:t>
      </w:r>
    </w:p>
    <w:p>
      <w:pPr>
        <w:keepNext w:val="0"/>
        <w:keepLines w:val="0"/>
        <w:pageBreakBefore w:val="0"/>
        <w:widowControl w:val="0"/>
        <w:kinsoku/>
        <w:wordWrap/>
        <w:overflowPunct/>
        <w:topLinePunct w:val="0"/>
        <w:autoSpaceDE/>
        <w:autoSpaceDN/>
        <w:bidi w:val="0"/>
        <w:adjustRightInd/>
        <w:snapToGrid/>
        <w:spacing w:before="150" w:line="560" w:lineRule="exact"/>
        <w:ind w:left="200" w:right="200" w:firstLine="500"/>
        <w:jc w:val="both"/>
        <w:textAlignment w:val="auto"/>
        <w:outlineLvl w:val="9"/>
        <w:rPr>
          <w:rFonts w:hint="eastAsia" w:ascii="楷体_GB2312" w:hAnsi="楷体_GB2312" w:eastAsia="楷体_GB2312" w:cs="楷体_GB2312"/>
          <w:b/>
          <w:bCs/>
          <w:position w:val="20"/>
          <w:sz w:val="32"/>
          <w:szCs w:val="32"/>
        </w:rPr>
      </w:pPr>
      <w:r>
        <w:rPr>
          <w:rFonts w:hint="eastAsia" w:ascii="楷体_GB2312" w:hAnsi="楷体_GB2312" w:eastAsia="楷体_GB2312" w:cs="楷体_GB2312"/>
          <w:b/>
          <w:bCs/>
          <w:position w:val="20"/>
          <w:sz w:val="32"/>
          <w:szCs w:val="32"/>
        </w:rPr>
        <w:t>（二）政府采购情况</w:t>
      </w:r>
    </w:p>
    <w:p>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rFonts w:hint="eastAsia" w:ascii="仿宋" w:hAnsi="仿宋" w:eastAsia="仿宋" w:cs="仿宋"/>
          <w:position w:val="10"/>
          <w:sz w:val="32"/>
          <w:szCs w:val="32"/>
        </w:rPr>
      </w:pPr>
      <w:r>
        <w:rPr>
          <w:rFonts w:hint="eastAsia" w:ascii="仿宋" w:hAnsi="仿宋" w:eastAsia="仿宋" w:cs="仿宋"/>
          <w:position w:val="10"/>
          <w:sz w:val="32"/>
          <w:szCs w:val="32"/>
        </w:rPr>
        <w:t>2023年，皮山县科克铁热克乡人民政府政府采购预算0万元，其中：政府采购货物预算0万元，政府采购工程预算0万元，政府采购服务预算0万元。</w:t>
      </w:r>
    </w:p>
    <w:p>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rFonts w:hint="eastAsia" w:ascii="仿宋" w:hAnsi="仿宋" w:eastAsia="仿宋" w:cs="仿宋"/>
          <w:position w:val="10"/>
          <w:sz w:val="32"/>
          <w:szCs w:val="32"/>
        </w:rPr>
      </w:pPr>
      <w:r>
        <w:rPr>
          <w:rFonts w:hint="eastAsia" w:ascii="仿宋" w:hAnsi="仿宋" w:eastAsia="仿宋" w:cs="仿宋"/>
          <w:position w:val="10"/>
          <w:sz w:val="32"/>
          <w:szCs w:val="32"/>
        </w:rPr>
        <w:t>2023年度本单位面向中小企业预留政府采购项目预算金额0万元，其中：面向小微企业预留政府采购项目预算金额0万元。</w:t>
      </w:r>
    </w:p>
    <w:p>
      <w:pPr>
        <w:keepNext w:val="0"/>
        <w:keepLines w:val="0"/>
        <w:pageBreakBefore w:val="0"/>
        <w:widowControl w:val="0"/>
        <w:kinsoku/>
        <w:wordWrap/>
        <w:overflowPunct/>
        <w:topLinePunct w:val="0"/>
        <w:autoSpaceDE/>
        <w:autoSpaceDN/>
        <w:bidi w:val="0"/>
        <w:adjustRightInd/>
        <w:snapToGrid/>
        <w:spacing w:before="150" w:line="560" w:lineRule="exact"/>
        <w:ind w:left="200" w:right="200" w:firstLine="500"/>
        <w:jc w:val="both"/>
        <w:textAlignment w:val="auto"/>
        <w:outlineLvl w:val="9"/>
        <w:rPr>
          <w:rFonts w:hint="eastAsia" w:ascii="楷体_GB2312" w:hAnsi="楷体_GB2312" w:eastAsia="楷体_GB2312" w:cs="楷体_GB2312"/>
          <w:b/>
          <w:bCs/>
          <w:position w:val="20"/>
          <w:sz w:val="32"/>
          <w:szCs w:val="32"/>
        </w:rPr>
      </w:pPr>
      <w:r>
        <w:rPr>
          <w:rFonts w:hint="eastAsia" w:ascii="楷体_GB2312" w:hAnsi="楷体_GB2312" w:eastAsia="楷体_GB2312" w:cs="楷体_GB2312"/>
          <w:b/>
          <w:bCs/>
          <w:position w:val="20"/>
          <w:sz w:val="32"/>
          <w:szCs w:val="32"/>
        </w:rPr>
        <w:t>（三）国有资产占用使用情况</w:t>
      </w:r>
    </w:p>
    <w:p>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rFonts w:hint="eastAsia" w:ascii="仿宋" w:hAnsi="仿宋" w:eastAsia="仿宋" w:cs="仿宋"/>
          <w:position w:val="10"/>
          <w:sz w:val="32"/>
          <w:szCs w:val="32"/>
        </w:rPr>
      </w:pPr>
      <w:r>
        <w:rPr>
          <w:rFonts w:hint="eastAsia" w:ascii="仿宋" w:hAnsi="仿宋" w:eastAsia="仿宋" w:cs="仿宋"/>
          <w:position w:val="10"/>
          <w:sz w:val="32"/>
          <w:szCs w:val="32"/>
        </w:rPr>
        <w:t>截至2022年底，皮山县科克铁热克乡人民政府及下属各预算单位占用使用国有资产总体情况为</w:t>
      </w:r>
    </w:p>
    <w:p>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rFonts w:hint="eastAsia" w:ascii="仿宋" w:hAnsi="仿宋" w:eastAsia="仿宋" w:cs="仿宋"/>
          <w:position w:val="10"/>
          <w:sz w:val="32"/>
          <w:szCs w:val="32"/>
        </w:rPr>
      </w:pPr>
      <w:r>
        <w:rPr>
          <w:rFonts w:hint="eastAsia" w:ascii="仿宋" w:hAnsi="仿宋" w:eastAsia="仿宋" w:cs="仿宋"/>
          <w:position w:val="10"/>
          <w:sz w:val="32"/>
          <w:szCs w:val="32"/>
        </w:rPr>
        <w:t>1.房屋5000平方米，价值111.97万元。</w:t>
      </w:r>
    </w:p>
    <w:p>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rFonts w:hint="eastAsia" w:ascii="仿宋" w:hAnsi="仿宋" w:eastAsia="仿宋" w:cs="仿宋"/>
          <w:position w:val="10"/>
          <w:sz w:val="32"/>
          <w:szCs w:val="32"/>
        </w:rPr>
      </w:pPr>
      <w:r>
        <w:rPr>
          <w:rFonts w:hint="eastAsia" w:ascii="仿宋" w:hAnsi="仿宋" w:eastAsia="仿宋" w:cs="仿宋"/>
          <w:position w:val="10"/>
          <w:sz w:val="32"/>
          <w:szCs w:val="32"/>
        </w:rPr>
        <w:t>2.车辆4辆，价值23.00万元；其中：一般公务用车4辆，价值23万元；执法执勤用车0辆，价值0万元；其他车辆0辆，价值0万元。</w:t>
      </w:r>
    </w:p>
    <w:p>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rFonts w:hint="eastAsia" w:ascii="仿宋" w:hAnsi="仿宋" w:eastAsia="仿宋" w:cs="仿宋"/>
          <w:position w:val="10"/>
          <w:sz w:val="32"/>
          <w:szCs w:val="32"/>
        </w:rPr>
      </w:pPr>
      <w:r>
        <w:rPr>
          <w:rFonts w:hint="eastAsia" w:ascii="仿宋" w:hAnsi="仿宋" w:eastAsia="仿宋" w:cs="仿宋"/>
          <w:position w:val="10"/>
          <w:sz w:val="32"/>
          <w:szCs w:val="32"/>
        </w:rPr>
        <w:t>3.办公家具价值0万元。</w:t>
      </w:r>
    </w:p>
    <w:p>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rFonts w:hint="eastAsia" w:ascii="仿宋" w:hAnsi="仿宋" w:eastAsia="仿宋" w:cs="仿宋"/>
          <w:position w:val="10"/>
          <w:sz w:val="32"/>
          <w:szCs w:val="32"/>
        </w:rPr>
      </w:pPr>
      <w:r>
        <w:rPr>
          <w:rFonts w:hint="eastAsia" w:ascii="仿宋" w:hAnsi="仿宋" w:eastAsia="仿宋" w:cs="仿宋"/>
          <w:position w:val="10"/>
          <w:sz w:val="32"/>
          <w:szCs w:val="32"/>
        </w:rPr>
        <w:t>4.其他资产价值53.05万元。</w:t>
      </w:r>
    </w:p>
    <w:p>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rFonts w:hint="eastAsia" w:ascii="仿宋" w:hAnsi="仿宋" w:eastAsia="仿宋" w:cs="仿宋"/>
          <w:position w:val="10"/>
          <w:sz w:val="32"/>
          <w:szCs w:val="32"/>
        </w:rPr>
      </w:pPr>
      <w:r>
        <w:rPr>
          <w:rFonts w:hint="eastAsia" w:ascii="仿宋" w:hAnsi="仿宋" w:eastAsia="仿宋" w:cs="仿宋"/>
          <w:position w:val="10"/>
          <w:sz w:val="32"/>
          <w:szCs w:val="32"/>
        </w:rPr>
        <w:t>单位价值50万元以上大型设备0台，单位价值100万元以上大型设备0台。</w:t>
      </w:r>
    </w:p>
    <w:p>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rFonts w:hint="eastAsia" w:ascii="仿宋" w:hAnsi="仿宋" w:eastAsia="仿宋" w:cs="仿宋"/>
          <w:position w:val="10"/>
          <w:sz w:val="32"/>
          <w:szCs w:val="32"/>
        </w:rPr>
      </w:pPr>
      <w:r>
        <w:rPr>
          <w:rFonts w:hint="eastAsia" w:ascii="仿宋" w:hAnsi="仿宋" w:eastAsia="仿宋" w:cs="仿宋"/>
          <w:position w:val="10"/>
          <w:sz w:val="32"/>
          <w:szCs w:val="32"/>
        </w:rPr>
        <w:t>2023年单位预算安排购置车辆经费0万元，安排购置50万元以上大型设备0台，单位价值100万元以上大型设备0台。</w:t>
      </w:r>
    </w:p>
    <w:p>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rFonts w:hint="eastAsia" w:ascii="仿宋" w:hAnsi="仿宋" w:eastAsia="仿宋" w:cs="仿宋"/>
          <w:position w:val="10"/>
          <w:sz w:val="32"/>
          <w:szCs w:val="32"/>
        </w:rPr>
      </w:pPr>
      <w:r>
        <w:rPr>
          <w:rFonts w:hint="eastAsia" w:ascii="仿宋" w:hAnsi="仿宋" w:eastAsia="仿宋" w:cs="仿宋"/>
          <w:position w:val="10"/>
          <w:sz w:val="32"/>
          <w:szCs w:val="32"/>
        </w:rPr>
        <w:t>2023年，本年度预算绩效管理的财政拨款项目0个，涉及预算金额0万元；非财政拨款项目0个，涉及预算金额0万元。</w:t>
      </w:r>
    </w:p>
    <w:p>
      <w:pPr>
        <w:keepNext w:val="0"/>
        <w:keepLines w:val="0"/>
        <w:pageBreakBefore w:val="0"/>
        <w:widowControl w:val="0"/>
        <w:kinsoku/>
        <w:wordWrap/>
        <w:overflowPunct/>
        <w:topLinePunct w:val="0"/>
        <w:autoSpaceDE/>
        <w:autoSpaceDN/>
        <w:bidi w:val="0"/>
        <w:adjustRightInd/>
        <w:snapToGrid/>
        <w:spacing w:before="150" w:line="560" w:lineRule="exact"/>
        <w:ind w:left="200" w:right="200" w:firstLine="500"/>
        <w:jc w:val="both"/>
        <w:textAlignment w:val="auto"/>
        <w:outlineLvl w:val="9"/>
        <w:rPr>
          <w:rFonts w:hint="eastAsia" w:ascii="楷体_GB2312" w:hAnsi="楷体_GB2312" w:eastAsia="楷体_GB2312" w:cs="楷体_GB2312"/>
          <w:b/>
          <w:bCs/>
          <w:sz w:val="32"/>
          <w:szCs w:val="32"/>
        </w:rPr>
      </w:pPr>
      <w:r>
        <w:rPr>
          <w:rFonts w:hint="eastAsia" w:ascii="楷体_GB2312" w:hAnsi="楷体_GB2312" w:eastAsia="楷体_GB2312" w:cs="楷体_GB2312"/>
          <w:b/>
          <w:bCs/>
          <w:position w:val="20"/>
          <w:sz w:val="32"/>
          <w:szCs w:val="32"/>
        </w:rPr>
        <w:t>（五）其他需说明的事项</w:t>
      </w:r>
    </w:p>
    <w:p>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rFonts w:hint="eastAsia" w:ascii="仿宋" w:hAnsi="仿宋" w:eastAsia="仿宋" w:cs="仿宋"/>
          <w:position w:val="10"/>
          <w:sz w:val="32"/>
          <w:szCs w:val="32"/>
        </w:rPr>
      </w:pPr>
      <w:r>
        <w:rPr>
          <w:rFonts w:hint="eastAsia" w:ascii="仿宋" w:hAnsi="仿宋" w:eastAsia="仿宋" w:cs="仿宋"/>
          <w:position w:val="10"/>
          <w:sz w:val="32"/>
          <w:szCs w:val="32"/>
        </w:rPr>
        <w:t>无其他需要说明的事项。</w:t>
      </w:r>
    </w:p>
    <w:p>
      <w:pPr>
        <w:keepNext w:val="0"/>
        <w:keepLines w:val="0"/>
        <w:pageBreakBefore w:val="0"/>
        <w:widowControl w:val="0"/>
        <w:kinsoku/>
        <w:wordWrap/>
        <w:overflowPunct/>
        <w:topLinePunct w:val="0"/>
        <w:autoSpaceDE/>
        <w:autoSpaceDN/>
        <w:bidi w:val="0"/>
        <w:adjustRightInd/>
        <w:snapToGrid/>
        <w:spacing w:before="150" w:line="240" w:lineRule="auto"/>
        <w:ind w:left="200" w:right="200" w:firstLine="500"/>
        <w:jc w:val="both"/>
        <w:textAlignment w:val="auto"/>
        <w:outlineLvl w:val="9"/>
        <w:rPr>
          <w:rFonts w:hint="eastAsia" w:ascii="方正大标宋_GBK" w:hAnsi="方正大标宋_GBK" w:eastAsia="方正大标宋_GBK" w:cs="方正大标宋_GBK"/>
          <w:position w:val="30"/>
          <w:sz w:val="36"/>
          <w:szCs w:val="36"/>
        </w:rPr>
      </w:pPr>
    </w:p>
    <w:p>
      <w:pPr>
        <w:keepNext w:val="0"/>
        <w:keepLines w:val="0"/>
        <w:pageBreakBefore w:val="0"/>
        <w:widowControl w:val="0"/>
        <w:kinsoku/>
        <w:wordWrap/>
        <w:overflowPunct/>
        <w:topLinePunct w:val="0"/>
        <w:autoSpaceDE/>
        <w:autoSpaceDN/>
        <w:bidi w:val="0"/>
        <w:adjustRightInd/>
        <w:snapToGrid/>
        <w:spacing w:before="150" w:line="240" w:lineRule="auto"/>
        <w:ind w:left="200" w:right="200" w:firstLine="500"/>
        <w:jc w:val="both"/>
        <w:textAlignment w:val="auto"/>
        <w:outlineLvl w:val="9"/>
        <w:rPr>
          <w:rFonts w:hint="eastAsia" w:ascii="方正大标宋_GBK" w:hAnsi="方正大标宋_GBK" w:eastAsia="方正大标宋_GBK" w:cs="方正大标宋_GBK"/>
          <w:position w:val="30"/>
          <w:sz w:val="36"/>
          <w:szCs w:val="36"/>
        </w:rPr>
      </w:pPr>
      <w:r>
        <w:rPr>
          <w:rFonts w:hint="eastAsia" w:ascii="方正大标宋_GBK" w:hAnsi="方正大标宋_GBK" w:eastAsia="方正大标宋_GBK" w:cs="方正大标宋_GBK"/>
          <w:position w:val="30"/>
          <w:sz w:val="36"/>
          <w:szCs w:val="36"/>
        </w:rPr>
        <w:br w:type="page"/>
      </w:r>
    </w:p>
    <w:p>
      <w:pPr>
        <w:keepNext w:val="0"/>
        <w:keepLines w:val="0"/>
        <w:pageBreakBefore w:val="0"/>
        <w:widowControl w:val="0"/>
        <w:kinsoku/>
        <w:wordWrap/>
        <w:topLinePunct w:val="0"/>
        <w:autoSpaceDE/>
        <w:autoSpaceDN/>
        <w:bidi w:val="0"/>
        <w:adjustRightInd/>
        <w:snapToGrid/>
        <w:spacing w:line="540" w:lineRule="exact"/>
        <w:jc w:val="center"/>
        <w:textAlignment w:val="auto"/>
        <w:rPr>
          <w:rFonts w:hint="eastAsia" w:ascii="方正小标宋简体" w:hAnsi="宋体" w:eastAsia="方正小标宋简体" w:cs="Times New Roman"/>
          <w:color w:val="000000"/>
          <w:kern w:val="2"/>
          <w:sz w:val="44"/>
          <w:szCs w:val="44"/>
          <w:shd w:val="clear" w:color="auto" w:fill="FFFFFF"/>
          <w:lang w:val="en-US" w:eastAsia="zh-CN" w:bidi="ar-SA"/>
        </w:rPr>
      </w:pPr>
      <w:r>
        <w:rPr>
          <w:rFonts w:hint="eastAsia" w:ascii="方正小标宋简体" w:hAnsi="宋体" w:eastAsia="方正小标宋简体" w:cs="Times New Roman"/>
          <w:color w:val="000000"/>
          <w:kern w:val="2"/>
          <w:sz w:val="44"/>
          <w:szCs w:val="44"/>
          <w:shd w:val="clear" w:color="auto" w:fill="FFFFFF"/>
          <w:lang w:val="en-US" w:eastAsia="zh-CN" w:bidi="ar-SA"/>
        </w:rPr>
        <w:t>第四部分 名词解释</w:t>
      </w:r>
    </w:p>
    <w:p>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rFonts w:hint="eastAsia" w:ascii="仿宋" w:hAnsi="仿宋" w:eastAsia="仿宋" w:cs="仿宋"/>
          <w:position w:val="10"/>
          <w:sz w:val="32"/>
          <w:szCs w:val="32"/>
        </w:rPr>
      </w:pPr>
      <w:r>
        <w:rPr>
          <w:rFonts w:hint="eastAsia" w:ascii="楷体_GB2312" w:hAnsi="楷体_GB2312" w:eastAsia="楷体_GB2312" w:cs="楷体_GB2312"/>
          <w:b/>
          <w:bCs/>
          <w:position w:val="10"/>
          <w:sz w:val="32"/>
          <w:szCs w:val="32"/>
        </w:rPr>
        <w:t>一、财政拨款：</w:t>
      </w:r>
      <w:r>
        <w:rPr>
          <w:rFonts w:hint="eastAsia" w:ascii="仿宋" w:hAnsi="仿宋" w:eastAsia="仿宋" w:cs="仿宋"/>
          <w:position w:val="10"/>
          <w:sz w:val="32"/>
          <w:szCs w:val="32"/>
        </w:rPr>
        <w:t>指由一般公共预算、政府性基金预算、国有资本经营预算安排的财政拨款数。</w:t>
      </w:r>
    </w:p>
    <w:p>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rFonts w:hint="eastAsia" w:ascii="仿宋" w:hAnsi="仿宋" w:eastAsia="仿宋" w:cs="仿宋"/>
          <w:position w:val="10"/>
          <w:sz w:val="32"/>
          <w:szCs w:val="32"/>
        </w:rPr>
      </w:pPr>
      <w:r>
        <w:rPr>
          <w:rFonts w:hint="eastAsia" w:ascii="楷体_GB2312" w:hAnsi="楷体_GB2312" w:eastAsia="楷体_GB2312" w:cs="楷体_GB2312"/>
          <w:b/>
          <w:bCs/>
          <w:position w:val="10"/>
          <w:sz w:val="32"/>
          <w:szCs w:val="32"/>
        </w:rPr>
        <w:t>二、一般公共预算：</w:t>
      </w:r>
      <w:r>
        <w:rPr>
          <w:rFonts w:hint="eastAsia" w:ascii="仿宋" w:hAnsi="仿宋" w:eastAsia="仿宋" w:cs="仿宋"/>
          <w:position w:val="10"/>
          <w:sz w:val="32"/>
          <w:szCs w:val="32"/>
        </w:rPr>
        <w:t>包括公共财政拨款（补助）资金、专项收入。</w:t>
      </w:r>
    </w:p>
    <w:p>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rFonts w:hint="eastAsia" w:ascii="仿宋" w:hAnsi="仿宋" w:eastAsia="仿宋" w:cs="仿宋"/>
          <w:position w:val="10"/>
          <w:sz w:val="32"/>
          <w:szCs w:val="32"/>
        </w:rPr>
      </w:pPr>
      <w:r>
        <w:rPr>
          <w:rFonts w:hint="eastAsia" w:ascii="楷体_GB2312" w:hAnsi="楷体_GB2312" w:eastAsia="楷体_GB2312" w:cs="楷体_GB2312"/>
          <w:b/>
          <w:bCs/>
          <w:position w:val="10"/>
          <w:sz w:val="32"/>
          <w:szCs w:val="32"/>
        </w:rPr>
        <w:t>三、财政专户管理资金：</w:t>
      </w:r>
      <w:r>
        <w:rPr>
          <w:rFonts w:hint="eastAsia" w:ascii="仿宋" w:hAnsi="仿宋" w:eastAsia="仿宋" w:cs="仿宋"/>
          <w:position w:val="10"/>
          <w:sz w:val="32"/>
          <w:szCs w:val="32"/>
        </w:rPr>
        <w:t>包括专户管理行政事业性收费（主要是教育收费）、其他非税收入。</w:t>
      </w:r>
    </w:p>
    <w:p>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rFonts w:hint="eastAsia" w:ascii="仿宋" w:hAnsi="仿宋" w:eastAsia="仿宋" w:cs="仿宋"/>
          <w:position w:val="10"/>
          <w:sz w:val="32"/>
          <w:szCs w:val="32"/>
        </w:rPr>
      </w:pPr>
      <w:r>
        <w:rPr>
          <w:rFonts w:hint="eastAsia" w:ascii="楷体_GB2312" w:hAnsi="楷体_GB2312" w:eastAsia="楷体_GB2312" w:cs="楷体_GB2312"/>
          <w:b/>
          <w:bCs/>
          <w:position w:val="10"/>
          <w:sz w:val="32"/>
          <w:szCs w:val="32"/>
        </w:rPr>
        <w:t>四、其他资金：</w:t>
      </w:r>
      <w:r>
        <w:rPr>
          <w:rFonts w:hint="eastAsia" w:ascii="仿宋" w:hAnsi="仿宋" w:eastAsia="仿宋" w:cs="仿宋"/>
          <w:position w:val="10"/>
          <w:sz w:val="32"/>
          <w:szCs w:val="32"/>
        </w:rPr>
        <w:t>包括事业收入、事业经营收入、其他收入等。</w:t>
      </w:r>
    </w:p>
    <w:p>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rFonts w:hint="eastAsia" w:ascii="仿宋" w:hAnsi="仿宋" w:eastAsia="仿宋" w:cs="仿宋"/>
          <w:position w:val="10"/>
          <w:sz w:val="32"/>
          <w:szCs w:val="32"/>
        </w:rPr>
      </w:pPr>
      <w:r>
        <w:rPr>
          <w:rFonts w:hint="eastAsia" w:ascii="楷体_GB2312" w:hAnsi="楷体_GB2312" w:eastAsia="楷体_GB2312" w:cs="楷体_GB2312"/>
          <w:b/>
          <w:bCs/>
          <w:position w:val="10"/>
          <w:sz w:val="32"/>
          <w:szCs w:val="32"/>
        </w:rPr>
        <w:t>五、基本支出：</w:t>
      </w:r>
      <w:r>
        <w:rPr>
          <w:rFonts w:hint="eastAsia" w:ascii="仿宋" w:hAnsi="仿宋" w:eastAsia="仿宋" w:cs="仿宋"/>
          <w:position w:val="10"/>
          <w:sz w:val="32"/>
          <w:szCs w:val="32"/>
        </w:rPr>
        <w:t>包括人员经费、公用经费（定额）。其中，人员经费包括工资福利支出、对个人和家庭的补助。</w:t>
      </w:r>
    </w:p>
    <w:p>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rFonts w:hint="eastAsia" w:ascii="仿宋" w:hAnsi="仿宋" w:eastAsia="仿宋" w:cs="仿宋"/>
          <w:position w:val="10"/>
          <w:sz w:val="32"/>
          <w:szCs w:val="32"/>
        </w:rPr>
      </w:pPr>
      <w:r>
        <w:rPr>
          <w:rFonts w:hint="eastAsia" w:ascii="楷体_GB2312" w:hAnsi="楷体_GB2312" w:eastAsia="楷体_GB2312" w:cs="楷体_GB2312"/>
          <w:b/>
          <w:bCs/>
          <w:position w:val="10"/>
          <w:sz w:val="32"/>
          <w:szCs w:val="32"/>
        </w:rPr>
        <w:t>六、项目支出：</w:t>
      </w:r>
      <w:r>
        <w:rPr>
          <w:rFonts w:hint="eastAsia" w:ascii="仿宋" w:hAnsi="仿宋" w:eastAsia="仿宋" w:cs="仿宋"/>
          <w:position w:val="10"/>
          <w:sz w:val="32"/>
          <w:szCs w:val="32"/>
        </w:rPr>
        <w:t>部门（单位）支出预算的组成部分，是各部门（单位）为完成其特定的行政任务或事业发展目标，在基本支出预算之外编制的年度项目支出计划。</w:t>
      </w:r>
    </w:p>
    <w:p>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rFonts w:hint="eastAsia" w:ascii="仿宋" w:hAnsi="仿宋" w:eastAsia="仿宋" w:cs="仿宋"/>
          <w:position w:val="10"/>
          <w:sz w:val="32"/>
          <w:szCs w:val="32"/>
        </w:rPr>
      </w:pPr>
      <w:r>
        <w:rPr>
          <w:rFonts w:hint="eastAsia" w:ascii="楷体_GB2312" w:hAnsi="楷体_GB2312" w:eastAsia="楷体_GB2312" w:cs="楷体_GB2312"/>
          <w:b/>
          <w:bCs/>
          <w:position w:val="10"/>
          <w:sz w:val="32"/>
          <w:szCs w:val="32"/>
        </w:rPr>
        <w:t>七、“三公”经费：</w:t>
      </w:r>
      <w:r>
        <w:rPr>
          <w:rFonts w:hint="eastAsia" w:ascii="仿宋" w:hAnsi="仿宋" w:eastAsia="仿宋" w:cs="仿宋"/>
          <w:position w:val="10"/>
          <w:sz w:val="32"/>
          <w:szCs w:val="32"/>
        </w:rPr>
        <w:t>指因公出国（境）费、公务用车购置及运行维护费和公务接待费。其中，因公出国（境）费反映单位公务出国（境）的国际旅费、国外城市间交通费、住宿费、伙食费、培训费、公杂费等支出；公务用车运行维护费反映单位按规定保留的公务用车租用费、燃料费、维修费、过路过桥费、保险费、安全奖励费用等支出；公务接待费反映单位按规定开支的各类公务接待（含外宾接待）支出。</w:t>
      </w:r>
    </w:p>
    <w:p>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rFonts w:hint="eastAsia" w:ascii="仿宋" w:hAnsi="仿宋" w:eastAsia="仿宋" w:cs="仿宋"/>
          <w:position w:val="10"/>
          <w:sz w:val="32"/>
          <w:szCs w:val="32"/>
        </w:rPr>
      </w:pPr>
      <w:r>
        <w:rPr>
          <w:rFonts w:hint="eastAsia" w:ascii="楷体_GB2312" w:hAnsi="楷体_GB2312" w:eastAsia="楷体_GB2312" w:cs="楷体_GB2312"/>
          <w:b/>
          <w:bCs/>
          <w:position w:val="10"/>
          <w:sz w:val="32"/>
          <w:szCs w:val="32"/>
        </w:rPr>
        <w:t>八、机关运行经费：</w:t>
      </w:r>
      <w:r>
        <w:rPr>
          <w:rFonts w:hint="eastAsia" w:ascii="仿宋" w:hAnsi="仿宋" w:eastAsia="仿宋" w:cs="仿宋"/>
          <w:position w:val="10"/>
          <w:sz w:val="32"/>
          <w:szCs w:val="32"/>
        </w:rPr>
        <w:t>指各部门（单位）的公用经费，包括办公及印刷费、邮电费、差旅费、会议费、福利费、日常维修费、专用材料及一般设备购置费、办公用房水电费、办公用房取暖费、办公用房物业管理费、公务用车运行维护费及其他费用。</w:t>
      </w:r>
    </w:p>
    <w:p>
      <w:pPr>
        <w:pStyle w:val="2"/>
        <w:rPr>
          <w:rFonts w:hint="eastAsia"/>
        </w:rPr>
      </w:pPr>
    </w:p>
    <w:p>
      <w:pPr>
        <w:pStyle w:val="2"/>
        <w:rPr>
          <w:rFonts w:hint="eastAsia"/>
        </w:rPr>
      </w:pPr>
    </w:p>
    <w:p>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right"/>
        <w:textAlignment w:val="auto"/>
        <w:outlineLvl w:val="9"/>
        <w:rPr>
          <w:rFonts w:hint="eastAsia" w:ascii="仿宋" w:hAnsi="仿宋" w:eastAsia="仿宋" w:cs="仿宋"/>
          <w:position w:val="10"/>
          <w:sz w:val="32"/>
          <w:szCs w:val="32"/>
        </w:rPr>
      </w:pPr>
      <w:r>
        <w:rPr>
          <w:rFonts w:hint="eastAsia" w:ascii="仿宋" w:hAnsi="仿宋" w:eastAsia="仿宋" w:cs="仿宋"/>
          <w:position w:val="10"/>
          <w:sz w:val="32"/>
          <w:szCs w:val="32"/>
        </w:rPr>
        <w:t>皮山县科克铁热克乡人民政府</w:t>
      </w:r>
    </w:p>
    <w:p>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right"/>
        <w:textAlignment w:val="auto"/>
        <w:outlineLvl w:val="9"/>
        <w:rPr>
          <w:rFonts w:hint="eastAsia" w:ascii="仿宋" w:hAnsi="仿宋" w:eastAsia="仿宋" w:cs="仿宋"/>
          <w:position w:val="10"/>
          <w:sz w:val="32"/>
          <w:szCs w:val="32"/>
        </w:rPr>
      </w:pPr>
      <w:r>
        <w:rPr>
          <w:rFonts w:hint="eastAsia" w:ascii="仿宋" w:hAnsi="仿宋" w:eastAsia="仿宋" w:cs="仿宋"/>
          <w:position w:val="10"/>
          <w:sz w:val="32"/>
          <w:szCs w:val="32"/>
        </w:rPr>
        <w:t>2023年1月</w:t>
      </w:r>
      <w:r>
        <w:rPr>
          <w:rFonts w:hint="eastAsia" w:ascii="仿宋" w:hAnsi="仿宋" w:eastAsia="仿宋" w:cs="仿宋"/>
          <w:position w:val="10"/>
          <w:sz w:val="32"/>
          <w:szCs w:val="32"/>
          <w:lang w:val="en-US" w:eastAsia="zh-CN"/>
        </w:rPr>
        <w:t>18</w:t>
      </w:r>
      <w:r>
        <w:rPr>
          <w:rFonts w:hint="eastAsia" w:ascii="仿宋" w:hAnsi="仿宋" w:eastAsia="仿宋" w:cs="仿宋"/>
          <w:position w:val="10"/>
          <w:sz w:val="32"/>
          <w:szCs w:val="32"/>
        </w:rPr>
        <w:t>日</w:t>
      </w:r>
    </w:p>
    <w:sectPr>
      <w:pgMar w:top="2098" w:right="1417" w:bottom="1984" w:left="1587"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大标宋_GBK">
    <w:panose1 w:val="03000509000000000000"/>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方正小标宋_GBK">
    <w:panose1 w:val="03000509000000000000"/>
    <w:charset w:val="86"/>
    <w:family w:val="auto"/>
    <w:pitch w:val="default"/>
    <w:sig w:usb0="00000000" w:usb1="00000000" w:usb2="00000000" w:usb3="00000000" w:csb0="00000000" w:csb1="00000000"/>
  </w:font>
  <w:font w:name="方正小标宋简体">
    <w:altName w:val="仿宋_GB2312"/>
    <w:panose1 w:val="02010601030101010101"/>
    <w:charset w:val="86"/>
    <w:family w:val="script"/>
    <w:pitch w:val="default"/>
    <w:sig w:usb0="00000000" w:usb1="0000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Cambria">
    <w:panose1 w:val="02040503050406030204"/>
    <w:charset w:val="00"/>
    <w:family w:val="auto"/>
    <w:pitch w:val="default"/>
    <w:sig w:usb0="E00002FF" w:usb1="400004FF" w:usb2="0000000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cumentProtection w:enforcement="0"/>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BF04546"/>
    <w:rsid w:val="13BC0559"/>
    <w:rsid w:val="1592367C"/>
    <w:rsid w:val="1C8C43B0"/>
    <w:rsid w:val="3B222DC2"/>
    <w:rsid w:val="40B37198"/>
    <w:rsid w:val="4F455097"/>
    <w:rsid w:val="56DC42C8"/>
    <w:rsid w:val="5F2B5A1B"/>
    <w:rsid w:val="64A548E8"/>
    <w:rsid w:val="6E1F1958"/>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sz w:val="21"/>
      <w:szCs w:val="22"/>
    </w:rPr>
  </w:style>
  <w:style w:type="paragraph" w:styleId="2">
    <w:name w:val="heading 2"/>
    <w:basedOn w:val="1"/>
    <w:next w:val="1"/>
    <w:unhideWhenUsed/>
    <w:qFormat/>
    <w:uiPriority w:val="0"/>
    <w:pPr>
      <w:ind w:left="1277"/>
      <w:outlineLvl w:val="1"/>
    </w:pPr>
    <w:rPr>
      <w:rFonts w:ascii="仿宋_GB2312" w:hAnsi="仿宋_GB2312" w:eastAsia="仿宋_GB2312" w:cs="仿宋_GB2312"/>
      <w:b/>
      <w:bCs/>
      <w:sz w:val="32"/>
      <w:szCs w:val="32"/>
      <w:lang w:val="zh-CN" w:eastAsia="zh-CN" w:bidi="zh-CN"/>
    </w:rPr>
  </w:style>
  <w:style w:type="character" w:default="1" w:styleId="3">
    <w:name w:val="Default Paragraph Font"/>
    <w:semiHidden/>
    <w:uiPriority w:val="0"/>
  </w:style>
  <w:style w:type="table" w:default="1" w:styleId="4">
    <w:name w:val="Normal Table"/>
    <w:semiHidden/>
    <w:qFormat/>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28</Pages>
  <Words>3163</Words>
  <Characters>4244</Characters>
  <TotalTime>21</TotalTime>
  <ScaleCrop>false</ScaleCrop>
  <LinksUpToDate>false</LinksUpToDate>
  <CharactersWithSpaces>4659</CharactersWithSpaces>
  <Application>WPS Office_10.8.2.6837_F1E327BC-269C-435d-A152-05C5408002CA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2023-05-08T04:29:00Z</dcterms:created>
  <dc:creator>Apache POI</dc:creator>
  <cp:lastModifiedBy>Administrator</cp:lastModifiedBy>
  <dcterms:modified xsi:type="dcterms:W3CDTF">2025-07-22T09:56:57Z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2052-10.8.2.6837</vt:lpwstr>
  </property>
  <property fmtid="{D5CDD505-2E9C-101B-9397-08002B2CF9AE}" pid="3" name="KSOTemplateDocerSaveRecord">
    <vt:lpwstr>eyJoZGlkIjoiZmJiYzM4NGMxNTU2MDViMDQzMzBjNGQ5NThlMWYxNDciLCJ1c2VySWQiOiI5NTc2ODg5MzgifQ==</vt:lpwstr>
  </property>
  <property fmtid="{D5CDD505-2E9C-101B-9397-08002B2CF9AE}" pid="4" name="ICV">
    <vt:lpwstr>B18682FC2A3B4A0D94C1EC034F84C850_12</vt:lpwstr>
  </property>
</Properties>
</file>