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皮山县文旅局关于行政执法主体和行政执法人员信息公示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根据《新疆维吾尔自治区行政执法公示办法》精神，现将我局行政执法主体和行政执法人员信息公示如下：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法定行政执法机关：皮山县文化体育广播电视和旅游局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法定代表人：许鹏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办公地址：皮山县新城区公共文化中心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联系方式：0903-6422272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受委托部门：皮山县文化市场综合执法队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负责人：帕肉合·吐尔逊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办公地址：皮山县新城区公共文化中心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联系方式：0903-6422272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附件：1.皮山县文旅局行政执法主体信息表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 xml:space="preserve">      2.皮山县文旅局行政执法人员信息表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皮山县文化体育广播电视和旅游局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highlight w:val="none"/>
          <w:lang w:val="en-US" w:eastAsia="zh-CN"/>
        </w:rPr>
        <w:t>2022年8月31日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OTA2NTU0MTBhNjgwZjUyYzkzNzk2YTliYmRiNDQifQ=="/>
  </w:docVars>
  <w:rsids>
    <w:rsidRoot w:val="00000000"/>
    <w:rsid w:val="435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2022-09-05T09:55:31Z</dcterms:created>
  <dc:creator>admin</dc:creator>
  <cp:lastModifiedBy>骑鲨鱼的巴依老爷</cp:lastModifiedBy>
  <dcterms:modified xsi:type="dcterms:W3CDTF">2022-09-05T09:55:43Z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64D8E87A26834E9590060DBA2837CB99</vt:lpwstr>
  </property>
</Properties>
</file>